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宋体" w:hAnsi="宋体" w:eastAsia="宋体" w:cs="宋体"/>
          <w:b/>
          <w:bCs/>
          <w:color w:val="auto"/>
          <w:szCs w:val="21"/>
          <w:highlight w:val="none"/>
          <w:shd w:val="clear" w:color="auto" w:fill="auto"/>
          <w:lang w:val="en-US" w:eastAsia="zh-CN"/>
        </w:rPr>
      </w:pPr>
      <w:bookmarkStart w:id="72" w:name="_GoBack"/>
      <w:bookmarkEnd w:id="72"/>
      <w:r>
        <w:rPr>
          <w:rFonts w:hint="eastAsia" w:ascii="宋体" w:hAnsi="宋体" w:eastAsia="宋体" w:cs="宋体"/>
          <w:b/>
          <w:bCs/>
          <w:color w:val="auto"/>
          <w:szCs w:val="21"/>
          <w:highlight w:val="none"/>
          <w:shd w:val="clear" w:color="auto" w:fill="auto"/>
        </w:rPr>
        <w:t>附件</w:t>
      </w:r>
      <w:r>
        <w:rPr>
          <w:rFonts w:hint="eastAsia" w:ascii="宋体" w:hAnsi="宋体" w:eastAsia="宋体" w:cs="宋体"/>
          <w:b/>
          <w:bCs/>
          <w:color w:val="auto"/>
          <w:szCs w:val="21"/>
          <w:highlight w:val="none"/>
          <w:shd w:val="clear" w:color="auto" w:fill="auto"/>
          <w:lang w:val="en-US" w:eastAsia="zh-CN"/>
        </w:rPr>
        <w:t xml:space="preserve">1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报价表</w:t>
      </w:r>
    </w:p>
    <w:p>
      <w:pPr>
        <w:pStyle w:val="10"/>
        <w:widowControl/>
        <w:snapToGrid w:val="0"/>
        <w:spacing w:before="295" w:after="295"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金额单位：人民币（元）</w:t>
      </w:r>
    </w:p>
    <w:tbl>
      <w:tblPr>
        <w:tblStyle w:val="15"/>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406"/>
        <w:gridCol w:w="1378"/>
        <w:gridCol w:w="144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9" w:type="dxa"/>
            <w:noWrap w:val="0"/>
            <w:vAlign w:val="center"/>
          </w:tcPr>
          <w:p>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3406" w:type="dxa"/>
            <w:noWrap w:val="0"/>
            <w:vAlign w:val="center"/>
          </w:tcPr>
          <w:p>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1378" w:type="dxa"/>
            <w:noWrap w:val="0"/>
            <w:vAlign w:val="center"/>
          </w:tcPr>
          <w:p>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数量及单位</w:t>
            </w:r>
          </w:p>
        </w:tc>
        <w:tc>
          <w:tcPr>
            <w:tcW w:w="1446" w:type="dxa"/>
            <w:noWrap w:val="0"/>
            <w:vAlign w:val="center"/>
          </w:tcPr>
          <w:p>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总价（元）</w:t>
            </w:r>
          </w:p>
        </w:tc>
        <w:tc>
          <w:tcPr>
            <w:tcW w:w="1285" w:type="dxa"/>
            <w:noWrap w:val="0"/>
            <w:vAlign w:val="center"/>
          </w:tcPr>
          <w:p>
            <w:pPr>
              <w:widowControl/>
              <w:kinsoku/>
              <w:wordWrap/>
              <w:topLinePunct w:val="0"/>
              <w:bidi w:val="0"/>
              <w:spacing w:line="400" w:lineRule="exact"/>
              <w:jc w:val="center"/>
              <w:textAlignment w:val="auto"/>
              <w:rPr>
                <w:rFonts w:hint="default"/>
                <w:color w:val="auto"/>
                <w:lang w:val="en-US" w:eastAsia="zh-CN"/>
              </w:rPr>
            </w:pPr>
            <w:r>
              <w:rPr>
                <w:rFonts w:hint="eastAsia" w:ascii="宋体" w:hAnsi="宋体" w:cs="宋体"/>
                <w:b w:val="0"/>
                <w:bCs w:val="0"/>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89" w:type="dxa"/>
            <w:noWrap w:val="0"/>
            <w:vAlign w:val="center"/>
          </w:tcPr>
          <w:p>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06" w:type="dxa"/>
            <w:noWrap w:val="0"/>
            <w:vAlign w:val="center"/>
          </w:tcPr>
          <w:p>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北海市中医医院2024年消防系统维保服务</w:t>
            </w:r>
          </w:p>
        </w:tc>
        <w:tc>
          <w:tcPr>
            <w:tcW w:w="1378" w:type="dxa"/>
            <w:noWrap w:val="0"/>
            <w:vAlign w:val="center"/>
          </w:tcPr>
          <w:p>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w:t>
            </w:r>
          </w:p>
        </w:tc>
        <w:tc>
          <w:tcPr>
            <w:tcW w:w="1446"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2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04" w:type="dxa"/>
            <w:gridSpan w:val="5"/>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bl>
    <w:p>
      <w:pPr>
        <w:pStyle w:val="7"/>
        <w:rPr>
          <w:rFonts w:hint="eastAsia"/>
          <w:color w:val="auto"/>
        </w:rPr>
      </w:pPr>
    </w:p>
    <w:p>
      <w:pPr>
        <w:spacing w:line="400" w:lineRule="exact"/>
        <w:rPr>
          <w:rFonts w:hint="eastAsia" w:ascii="宋体" w:hAnsi="宋体" w:eastAsia="宋体" w:cs="宋体"/>
          <w:b/>
          <w:bCs w:val="0"/>
          <w:color w:val="auto"/>
          <w:kern w:val="2"/>
          <w:sz w:val="21"/>
          <w:szCs w:val="21"/>
          <w:highlight w:val="none"/>
          <w:lang w:val="en-US" w:eastAsia="zh-CN" w:bidi="ar-SA"/>
        </w:rPr>
      </w:pPr>
    </w:p>
    <w:p>
      <w:pPr>
        <w:spacing w:line="400" w:lineRule="exact"/>
        <w:rPr>
          <w:rFonts w:hint="eastAsia" w:ascii="宋体" w:hAnsi="宋体" w:eastAsia="宋体" w:cs="宋体"/>
          <w:color w:val="auto"/>
          <w:spacing w:val="20"/>
          <w:szCs w:val="21"/>
          <w:highlight w:val="none"/>
          <w:u w:val="single"/>
        </w:rPr>
      </w:pPr>
      <w:r>
        <w:rPr>
          <w:rFonts w:hint="eastAsia" w:ascii="宋体" w:hAnsi="宋体" w:eastAsia="宋体" w:cs="宋体"/>
          <w:b/>
          <w:bCs w:val="0"/>
          <w:color w:val="auto"/>
          <w:kern w:val="2"/>
          <w:sz w:val="21"/>
          <w:szCs w:val="21"/>
          <w:highlight w:val="none"/>
          <w:lang w:val="en-US" w:eastAsia="zh-CN" w:bidi="ar-SA"/>
        </w:rPr>
        <w:t>本项目报价包含</w:t>
      </w:r>
      <w:r>
        <w:rPr>
          <w:rFonts w:hint="eastAsia" w:ascii="宋体" w:hAnsi="宋体" w:eastAsia="宋体" w:cs="宋体"/>
          <w:b/>
          <w:bCs w:val="0"/>
          <w:color w:val="auto"/>
          <w:sz w:val="21"/>
          <w:szCs w:val="21"/>
          <w:highlight w:val="none"/>
        </w:rPr>
        <w:t>在</w:t>
      </w:r>
      <w:r>
        <w:rPr>
          <w:rFonts w:hint="eastAsia" w:ascii="宋体" w:hAnsi="宋体" w:eastAsia="宋体" w:cs="宋体"/>
          <w:b/>
          <w:bCs w:val="0"/>
          <w:color w:val="auto"/>
          <w:sz w:val="21"/>
          <w:szCs w:val="21"/>
          <w:highlight w:val="none"/>
          <w:lang w:val="en-US" w:eastAsia="zh-CN"/>
        </w:rPr>
        <w:t>采购人</w:t>
      </w:r>
      <w:r>
        <w:rPr>
          <w:rFonts w:hint="eastAsia" w:ascii="宋体" w:hAnsi="宋体" w:eastAsia="宋体" w:cs="宋体"/>
          <w:b/>
          <w:bCs w:val="0"/>
          <w:color w:val="auto"/>
          <w:sz w:val="21"/>
          <w:szCs w:val="21"/>
          <w:highlight w:val="none"/>
        </w:rPr>
        <w:t>指定地点交付所投产品时所产生的一切费用总和</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包括货款、标准附件、备品备件、专用工具、</w:t>
      </w:r>
      <w:r>
        <w:rPr>
          <w:rFonts w:hint="eastAsia" w:ascii="宋体" w:hAnsi="宋体" w:eastAsia="宋体" w:cs="宋体"/>
          <w:b/>
          <w:bCs w:val="0"/>
          <w:color w:val="auto"/>
          <w:sz w:val="21"/>
          <w:szCs w:val="21"/>
          <w:highlight w:val="none"/>
          <w:lang w:val="en-US" w:eastAsia="zh-CN"/>
        </w:rPr>
        <w:t>人工费、服务费、</w:t>
      </w:r>
      <w:r>
        <w:rPr>
          <w:rFonts w:hint="eastAsia" w:ascii="宋体" w:hAnsi="宋体" w:eastAsia="宋体" w:cs="宋体"/>
          <w:b/>
          <w:bCs w:val="0"/>
          <w:color w:val="auto"/>
          <w:sz w:val="21"/>
          <w:szCs w:val="21"/>
          <w:highlight w:val="none"/>
        </w:rPr>
        <w:t>包装、运输、装卸、</w:t>
      </w:r>
      <w:r>
        <w:rPr>
          <w:rFonts w:hint="eastAsia" w:ascii="宋体" w:hAnsi="宋体" w:eastAsia="宋体" w:cs="宋体"/>
          <w:b/>
          <w:bCs w:val="0"/>
          <w:color w:val="auto"/>
          <w:sz w:val="21"/>
          <w:szCs w:val="21"/>
          <w:highlight w:val="none"/>
          <w:lang w:val="en-US" w:eastAsia="zh-CN"/>
        </w:rPr>
        <w:t>检测、试验、</w:t>
      </w:r>
      <w:r>
        <w:rPr>
          <w:rFonts w:hint="eastAsia" w:ascii="宋体" w:hAnsi="宋体" w:eastAsia="宋体" w:cs="宋体"/>
          <w:b/>
          <w:bCs w:val="0"/>
          <w:color w:val="auto"/>
          <w:sz w:val="21"/>
          <w:szCs w:val="21"/>
          <w:highlight w:val="none"/>
        </w:rPr>
        <w:t>保险、税金、货到就位以及安装、调试、保修</w:t>
      </w:r>
      <w:r>
        <w:rPr>
          <w:rFonts w:hint="eastAsia" w:ascii="宋体" w:hAnsi="宋体" w:eastAsia="宋体" w:cs="宋体"/>
          <w:b/>
          <w:bCs w:val="0"/>
          <w:color w:val="auto"/>
          <w:sz w:val="21"/>
          <w:szCs w:val="21"/>
          <w:highlight w:val="none"/>
          <w:lang w:val="en-US" w:eastAsia="zh-CN"/>
        </w:rPr>
        <w:t>费</w:t>
      </w:r>
      <w:r>
        <w:rPr>
          <w:rFonts w:hint="eastAsia" w:ascii="宋体" w:hAnsi="宋体" w:eastAsia="宋体" w:cs="宋体"/>
          <w:b/>
          <w:bCs w:val="0"/>
          <w:color w:val="auto"/>
          <w:sz w:val="21"/>
          <w:szCs w:val="21"/>
          <w:highlight w:val="none"/>
        </w:rPr>
        <w:t>等</w:t>
      </w:r>
      <w:r>
        <w:rPr>
          <w:rFonts w:hint="eastAsia" w:ascii="宋体" w:hAnsi="宋体" w:eastAsia="宋体" w:cs="宋体"/>
          <w:b/>
          <w:bCs w:val="0"/>
          <w:color w:val="auto"/>
          <w:sz w:val="21"/>
          <w:szCs w:val="21"/>
          <w:highlight w:val="none"/>
          <w:lang w:val="en-US" w:eastAsia="zh-CN"/>
        </w:rPr>
        <w:t>成本、税金及利润，采购人不再另外支付其他费用</w:t>
      </w:r>
      <w:r>
        <w:rPr>
          <w:rFonts w:hint="eastAsia" w:ascii="宋体" w:hAnsi="宋体" w:eastAsia="宋体" w:cs="宋体"/>
          <w:b/>
          <w:bCs w:val="0"/>
          <w:color w:val="auto"/>
          <w:kern w:val="2"/>
          <w:sz w:val="21"/>
          <w:szCs w:val="21"/>
          <w:highlight w:val="none"/>
          <w:lang w:val="en-US" w:eastAsia="zh-CN" w:bidi="ar-SA"/>
        </w:rPr>
        <w:t>。</w:t>
      </w:r>
    </w:p>
    <w:p>
      <w:pPr>
        <w:spacing w:line="400" w:lineRule="exact"/>
        <w:ind w:firstLine="3360" w:firstLineChars="1600"/>
        <w:rPr>
          <w:rFonts w:hint="eastAsia" w:ascii="宋体" w:hAnsi="宋体" w:eastAsia="宋体" w:cs="宋体"/>
          <w:color w:val="auto"/>
          <w:highlight w:val="none"/>
        </w:rPr>
      </w:pPr>
    </w:p>
    <w:p>
      <w:pPr>
        <w:spacing w:line="400" w:lineRule="exact"/>
        <w:ind w:firstLine="3360" w:firstLineChars="1600"/>
        <w:rPr>
          <w:rFonts w:hint="eastAsia" w:ascii="宋体" w:hAnsi="宋体" w:eastAsia="宋体" w:cs="宋体"/>
          <w:color w:val="auto"/>
          <w:highlight w:val="none"/>
        </w:rPr>
      </w:pPr>
    </w:p>
    <w:p>
      <w:pPr>
        <w:spacing w:line="400" w:lineRule="exact"/>
        <w:ind w:firstLine="3360" w:firstLineChars="160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pPr>
        <w:pStyle w:val="19"/>
        <w:rPr>
          <w:rFonts w:hint="eastAsia" w:ascii="宋体" w:hAnsi="宋体" w:eastAsia="宋体" w:cs="宋体"/>
          <w:color w:val="auto"/>
          <w:szCs w:val="21"/>
          <w:highlight w:val="none"/>
          <w:u w:val="single"/>
          <w:lang w:val="en-US" w:eastAsia="zh-CN"/>
        </w:rPr>
      </w:pPr>
    </w:p>
    <w:p>
      <w:pPr>
        <w:rPr>
          <w:rFonts w:hint="eastAsia" w:ascii="宋体" w:hAnsi="宋体" w:eastAsia="宋体" w:cs="宋体"/>
          <w:color w:val="auto"/>
          <w:szCs w:val="21"/>
          <w:highlight w:val="none"/>
          <w:u w:val="single"/>
        </w:rPr>
      </w:pPr>
    </w:p>
    <w:p>
      <w:pPr>
        <w:pStyle w:val="19"/>
        <w:rPr>
          <w:rFonts w:hint="eastAsia" w:ascii="宋体" w:hAnsi="宋体" w:eastAsia="宋体" w:cs="宋体"/>
          <w:color w:val="auto"/>
          <w:szCs w:val="21"/>
          <w:highlight w:val="none"/>
          <w:u w:val="single"/>
        </w:rPr>
      </w:pPr>
    </w:p>
    <w:p>
      <w:pPr>
        <w:rPr>
          <w:rFonts w:hint="eastAsia" w:ascii="宋体" w:hAnsi="宋体" w:eastAsia="宋体" w:cs="宋体"/>
          <w:color w:val="auto"/>
          <w:szCs w:val="21"/>
          <w:highlight w:val="none"/>
          <w:u w:val="single"/>
        </w:rPr>
      </w:pPr>
    </w:p>
    <w:p>
      <w:pPr>
        <w:pStyle w:val="19"/>
        <w:rPr>
          <w:rFonts w:hint="eastAsia" w:ascii="宋体" w:hAnsi="宋体" w:eastAsia="宋体" w:cs="宋体"/>
          <w:color w:val="auto"/>
          <w:szCs w:val="21"/>
          <w:highlight w:val="none"/>
          <w:u w:val="single"/>
        </w:rPr>
      </w:pPr>
    </w:p>
    <w:p>
      <w:pPr>
        <w:rPr>
          <w:rFonts w:hint="eastAsia" w:ascii="宋体" w:hAnsi="宋体" w:eastAsia="宋体" w:cs="宋体"/>
          <w:color w:val="auto"/>
          <w:szCs w:val="21"/>
          <w:highlight w:val="none"/>
          <w:u w:val="single"/>
        </w:rPr>
      </w:pPr>
    </w:p>
    <w:p>
      <w:pPr>
        <w:rPr>
          <w:rFonts w:hint="eastAsia" w:ascii="宋体" w:hAnsi="宋体" w:eastAsia="宋体" w:cs="宋体"/>
          <w:color w:val="auto"/>
          <w:szCs w:val="21"/>
          <w:highlight w:val="none"/>
          <w:u w:val="single"/>
        </w:rPr>
      </w:pPr>
    </w:p>
    <w:p>
      <w:pPr>
        <w:pStyle w:val="18"/>
        <w:rPr>
          <w:rFonts w:hint="eastAsia" w:ascii="宋体" w:hAnsi="宋体" w:eastAsia="宋体" w:cs="宋体"/>
          <w:color w:val="auto"/>
          <w:szCs w:val="21"/>
          <w:highlight w:val="none"/>
          <w:u w:val="single"/>
        </w:rPr>
      </w:pPr>
    </w:p>
    <w:p>
      <w:pPr>
        <w:rPr>
          <w:rFonts w:hint="eastAsia"/>
          <w:color w:val="auto"/>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tabs>
          <w:tab w:val="left" w:pos="2771"/>
        </w:tabs>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附件</w:t>
      </w:r>
      <w:r>
        <w:rPr>
          <w:rFonts w:hint="eastAsia" w:ascii="宋体" w:hAnsi="宋体" w:eastAsia="宋体" w:cs="宋体"/>
          <w:b/>
          <w:bCs/>
          <w:color w:val="auto"/>
          <w:szCs w:val="21"/>
          <w:highlight w:val="none"/>
          <w:shd w:val="clear" w:color="auto" w:fill="auto"/>
          <w:lang w:val="en-US" w:eastAsia="zh-CN"/>
        </w:rPr>
        <w:t xml:space="preserve">2 </w:t>
      </w:r>
      <w:r>
        <w:rPr>
          <w:rFonts w:hint="eastAsia" w:ascii="宋体" w:hAnsi="宋体" w:eastAsia="宋体" w:cs="宋体"/>
          <w:b/>
          <w:bCs/>
          <w:color w:val="auto"/>
          <w:szCs w:val="21"/>
          <w:highlight w:val="none"/>
          <w:shd w:val="clear" w:color="auto" w:fill="auto"/>
        </w:rPr>
        <w:t xml:space="preserve"> </w:t>
      </w:r>
    </w:p>
    <w:p>
      <w:pPr>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2-1</w:t>
      </w:r>
      <w:r>
        <w:rPr>
          <w:rFonts w:hint="eastAsia" w:ascii="宋体" w:hAnsi="宋体" w:eastAsia="宋体" w:cs="宋体"/>
          <w:b/>
          <w:bCs/>
          <w:color w:val="auto"/>
          <w:szCs w:val="21"/>
          <w:highlight w:val="none"/>
          <w:shd w:val="clear" w:color="auto" w:fill="auto"/>
        </w:rPr>
        <w:t xml:space="preserve">  </w:t>
      </w:r>
      <w:r>
        <w:rPr>
          <w:rFonts w:hint="eastAsia" w:ascii="宋体" w:hAnsi="宋体" w:eastAsia="宋体" w:cs="宋体"/>
          <w:b/>
          <w:bCs/>
          <w:color w:val="auto"/>
          <w:szCs w:val="21"/>
          <w:highlight w:val="none"/>
          <w:shd w:val="clear" w:color="auto" w:fill="auto"/>
          <w:lang w:val="en-US" w:eastAsia="zh-CN"/>
        </w:rPr>
        <w:t>北海市政府采购供应商信用承诺函</w:t>
      </w:r>
    </w:p>
    <w:p>
      <w:pPr>
        <w:rPr>
          <w:rFonts w:hint="eastAsia" w:ascii="宋体" w:hAnsi="宋体" w:eastAsia="宋体" w:cs="宋体"/>
          <w:b/>
          <w:color w:val="auto"/>
          <w:sz w:val="24"/>
          <w:highlight w:val="none"/>
          <w:shd w:val="clear" w:color="auto" w:fill="auto"/>
        </w:rPr>
      </w:pPr>
    </w:p>
    <w:p>
      <w:pPr>
        <w:spacing w:afterAutospacing="0"/>
        <w:jc w:val="center"/>
        <w:rPr>
          <w:rFonts w:hint="eastAsia" w:ascii="宋体" w:hAnsi="宋体" w:eastAsia="宋体" w:cs="宋体"/>
          <w:b/>
          <w:bCs/>
          <w:color w:val="auto"/>
          <w:sz w:val="28"/>
          <w:szCs w:val="36"/>
          <w:highlight w:val="none"/>
          <w:shd w:val="clear" w:color="auto" w:fill="auto"/>
        </w:rPr>
      </w:pPr>
      <w:r>
        <w:rPr>
          <w:rFonts w:hint="eastAsia" w:ascii="宋体" w:hAnsi="宋体" w:eastAsia="宋体" w:cs="宋体"/>
          <w:b/>
          <w:bCs/>
          <w:color w:val="auto"/>
          <w:sz w:val="28"/>
          <w:szCs w:val="36"/>
          <w:highlight w:val="none"/>
          <w:shd w:val="clear" w:color="auto" w:fill="auto"/>
        </w:rPr>
        <w:t>北海市政府采购供应商信用承诺函（格式）</w:t>
      </w:r>
    </w:p>
    <w:p>
      <w:pPr>
        <w:spacing w:before="235" w:beforeLines="75" w:beforeAutospacing="0"/>
        <w:rPr>
          <w:rFonts w:hint="eastAsia" w:ascii="宋体" w:hAnsi="宋体" w:eastAsia="宋体" w:cs="宋体"/>
          <w:color w:val="auto"/>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致</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lang w:val="en-US" w:eastAsia="zh-CN"/>
        </w:rPr>
        <w:t>北海市中医医院</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u w:val="single"/>
          <w:shd w:val="clear" w:color="auto" w:fill="auto"/>
          <w:lang w:val="en-US" w:eastAsia="zh-CN"/>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供应商地址：</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我单位自愿参加本次采购活动，严格遵守《中华人民共和国政府采购法》及相关法律法规，依法诚信经营，无条件遵守本次政府采购活动的各项规定</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我单位郑重承诺，本单位符合《中华人民共和国政府采购法》第二十二条规定的条件：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我单位具有符合采购文件资格要求独立承担民事责任的能力。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3.我单位具有符合采购文件资格要求的依法缴纳税收和社会保障记录的良好记录。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4.我单位具有符合采购文件资格要求履行合同所必需的设备和专业技术能力。</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98" w:beforeLines="31" w:before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若我单位承诺不实 ，自愿承担提供虚假材料谋取中标、成交的法律责任。</w:t>
      </w:r>
    </w:p>
    <w:p>
      <w:pPr>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注：1. </w:t>
      </w:r>
      <w:r>
        <w:rPr>
          <w:rFonts w:hint="eastAsia" w:ascii="宋体" w:hAnsi="宋体" w:eastAsia="宋体" w:cs="宋体"/>
          <w:color w:val="auto"/>
          <w:sz w:val="21"/>
          <w:szCs w:val="21"/>
          <w:highlight w:val="none"/>
        </w:rPr>
        <w:t>供应商以书面承诺函响应时</w:t>
      </w:r>
      <w:r>
        <w:rPr>
          <w:rFonts w:hint="eastAsia" w:ascii="宋体" w:hAnsi="宋体" w:eastAsia="宋体" w:cs="宋体"/>
          <w:color w:val="auto"/>
          <w:sz w:val="21"/>
          <w:szCs w:val="21"/>
          <w:highlight w:val="none"/>
          <w:shd w:val="clear" w:color="auto" w:fill="auto"/>
        </w:rPr>
        <w:t>须在投标（响应）文件中按此模板提供承诺函 ，未提供视为未实质性响应招标 （采购）文件要求 ，按无效投标（响应）处理。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2.供应商的法定代表人（其他组织的为负责人）或者授权代表的签名应真实、有效，如授权代表签名的，</w:t>
      </w:r>
      <w:r>
        <w:rPr>
          <w:rFonts w:hint="eastAsia" w:ascii="宋体" w:hAnsi="宋体" w:eastAsia="宋体" w:cs="宋体"/>
          <w:color w:val="auto"/>
          <w:sz w:val="21"/>
          <w:szCs w:val="21"/>
          <w:highlight w:val="none"/>
          <w:shd w:val="clear" w:color="auto" w:fill="auto"/>
          <w:lang w:val="en-US" w:eastAsia="zh-CN"/>
        </w:rPr>
        <w:t>须</w:t>
      </w:r>
      <w:r>
        <w:rPr>
          <w:rFonts w:hint="eastAsia" w:ascii="宋体" w:hAnsi="宋体" w:eastAsia="宋体" w:cs="宋体"/>
          <w:color w:val="auto"/>
          <w:sz w:val="21"/>
          <w:szCs w:val="21"/>
          <w:highlight w:val="none"/>
          <w:shd w:val="clear" w:color="auto" w:fill="auto"/>
        </w:rPr>
        <w:t>提供“法定代表人授权书”</w:t>
      </w:r>
      <w:r>
        <w:rPr>
          <w:rFonts w:hint="eastAsia" w:ascii="宋体" w:hAnsi="宋体" w:eastAsia="宋体" w:cs="宋体"/>
          <w:color w:val="auto"/>
          <w:sz w:val="21"/>
          <w:szCs w:val="21"/>
          <w:highlight w:val="none"/>
          <w:shd w:val="clear" w:color="auto" w:fill="auto"/>
          <w:lang w:eastAsia="zh-CN"/>
        </w:rPr>
        <w:t>。</w:t>
      </w:r>
    </w:p>
    <w:p>
      <w:pPr>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br w:type="page"/>
      </w:r>
    </w:p>
    <w:p>
      <w:pPr>
        <w:pStyle w:val="18"/>
        <w:rPr>
          <w:rFonts w:hint="eastAsia"/>
          <w:color w:val="auto"/>
        </w:rPr>
      </w:pPr>
    </w:p>
    <w:p>
      <w:pPr>
        <w:adjustRightInd w:val="0"/>
        <w:snapToGrid w:val="0"/>
        <w:spacing w:line="360" w:lineRule="auto"/>
        <w:jc w:val="left"/>
        <w:rPr>
          <w:rFonts w:hint="eastAsia" w:ascii="宋体" w:hAnsi="宋体" w:eastAsia="宋体" w:cs="宋体"/>
          <w:b/>
          <w:color w:val="auto"/>
          <w:sz w:val="22"/>
          <w:szCs w:val="22"/>
          <w:highlight w:val="none"/>
          <w:shd w:val="clear" w:color="auto" w:fill="auto"/>
          <w:lang w:val="en-US" w:eastAsia="zh-CN"/>
        </w:rPr>
      </w:pPr>
      <w:r>
        <w:rPr>
          <w:rFonts w:hint="eastAsia" w:ascii="宋体" w:hAnsi="宋体" w:cs="宋体"/>
          <w:b/>
          <w:color w:val="auto"/>
          <w:sz w:val="24"/>
          <w:highlight w:val="none"/>
          <w:shd w:val="clear" w:color="auto" w:fill="auto"/>
          <w:lang w:val="en-US" w:eastAsia="zh-CN"/>
        </w:rPr>
        <w:t>2-2</w:t>
      </w:r>
      <w:r>
        <w:rPr>
          <w:rFonts w:hint="eastAsia" w:ascii="宋体" w:hAnsi="宋体" w:eastAsia="宋体" w:cs="宋体"/>
          <w:b/>
          <w:color w:val="auto"/>
          <w:sz w:val="22"/>
          <w:szCs w:val="22"/>
          <w:highlight w:val="none"/>
          <w:shd w:val="clear" w:color="auto" w:fill="auto"/>
          <w:lang w:val="en-US" w:eastAsia="zh-CN"/>
        </w:rPr>
        <w:t>法定代表人（负责人）授权委托书（信用承诺函由授权代表签名时，必须提供）</w:t>
      </w:r>
    </w:p>
    <w:p>
      <w:pPr>
        <w:pStyle w:val="8"/>
        <w:rPr>
          <w:rFonts w:hint="default"/>
          <w:color w:val="auto"/>
          <w:highlight w:val="none"/>
          <w:shd w:val="clear" w:color="auto" w:fill="auto"/>
          <w:lang w:val="en-US" w:eastAsia="zh-CN"/>
        </w:rPr>
      </w:pPr>
    </w:p>
    <w:p>
      <w:pPr>
        <w:adjustRightInd w:val="0"/>
        <w:snapToGrid w:val="0"/>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法定代表人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lang w:val="en-US" w:eastAsia="zh-CN"/>
        </w:rPr>
        <w:t>负责人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rPr>
        <w:t>授权委托书</w:t>
      </w:r>
    </w:p>
    <w:p>
      <w:pPr>
        <w:adjustRightInd w:val="0"/>
        <w:snapToGrid w:val="0"/>
        <w:spacing w:line="360" w:lineRule="auto"/>
        <w:rPr>
          <w:rFonts w:hint="eastAsia" w:ascii="宋体" w:hAnsi="宋体" w:eastAsia="宋体" w:cs="宋体"/>
          <w:color w:val="auto"/>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lang w:val="en-US" w:eastAsia="zh-CN"/>
        </w:rPr>
        <w:t>北海市中医医院</w:t>
      </w:r>
      <w:r>
        <w:rPr>
          <w:rFonts w:hint="eastAsia" w:ascii="宋体" w:hAnsi="宋体" w:eastAsia="宋体" w:cs="宋体"/>
          <w:color w:val="auto"/>
          <w:sz w:val="21"/>
          <w:szCs w:val="21"/>
          <w:highlight w:val="none"/>
          <w:shd w:val="clear" w:color="auto" w:fill="auto"/>
        </w:rPr>
        <w:t>：</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兹授权</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同志为我公司参加贵单位组织的</w:t>
      </w:r>
      <w:r>
        <w:rPr>
          <w:rFonts w:hint="eastAsia" w:ascii="宋体" w:hAnsi="宋体" w:eastAsia="宋体" w:cs="宋体"/>
          <w:color w:val="auto"/>
          <w:sz w:val="21"/>
          <w:szCs w:val="21"/>
          <w:highlight w:val="none"/>
          <w:u w:val="single"/>
          <w:shd w:val="clear" w:color="auto" w:fill="auto"/>
        </w:rPr>
        <w:t xml:space="preserve"> 项目名称/项目编号</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shd w:val="clear" w:color="auto" w:fill="auto"/>
          <w:lang w:val="en-US" w:eastAsia="zh-CN"/>
        </w:rPr>
        <w:t>询价</w:t>
      </w:r>
      <w:r>
        <w:rPr>
          <w:rFonts w:hint="eastAsia" w:ascii="宋体" w:hAnsi="宋体" w:eastAsia="宋体" w:cs="宋体"/>
          <w:color w:val="auto"/>
          <w:sz w:val="21"/>
          <w:szCs w:val="21"/>
          <w:highlight w:val="none"/>
          <w:shd w:val="clear" w:color="auto" w:fill="auto"/>
        </w:rPr>
        <w:t>采购活动的委托代理人，全权代表我公司处理在该项目活动中的一切事宜。代理期限从</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日起至</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日止。 </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eastAsia="zh-CN"/>
        </w:rPr>
        <w:t>电子</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签字</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签发日期：</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附：委托代理人工作单位</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职务：</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pPr>
        <w:adjustRightInd w:val="0"/>
        <w:snapToGrid w:val="0"/>
        <w:spacing w:after="163" w:afterLines="50" w:afterAutospacing="0"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身份证号码：</w:t>
      </w:r>
      <w:r>
        <w:rPr>
          <w:rFonts w:hint="eastAsia" w:ascii="宋体" w:hAnsi="宋体" w:eastAsia="宋体" w:cs="宋体"/>
          <w:color w:val="auto"/>
          <w:sz w:val="21"/>
          <w:szCs w:val="21"/>
          <w:highlight w:val="none"/>
          <w:u w:val="single"/>
          <w:shd w:val="clear" w:color="auto" w:fill="auto"/>
        </w:rPr>
        <w:t xml:space="preserve">                              </w:t>
      </w: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pPr>
              <w:spacing w:beforeAutospacing="0"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粘贴委托代理人的正面及反面身份证复印件</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tc>
      </w:tr>
    </w:tbl>
    <w:p>
      <w:pPr>
        <w:spacing w:line="520" w:lineRule="exact"/>
        <w:rPr>
          <w:rFonts w:hint="eastAsia" w:ascii="宋体" w:hAnsi="宋体" w:eastAsia="宋体" w:cs="宋体"/>
          <w:b/>
          <w:bCs/>
          <w:color w:val="auto"/>
          <w:sz w:val="21"/>
          <w:szCs w:val="21"/>
          <w:highlight w:val="none"/>
          <w:shd w:val="clear" w:color="auto" w:fill="auto"/>
        </w:rPr>
      </w:pP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粘贴</w:t>
            </w:r>
            <w:r>
              <w:rPr>
                <w:rFonts w:hint="eastAsia" w:ascii="宋体" w:hAnsi="宋体" w:eastAsia="宋体" w:cs="宋体"/>
                <w:color w:val="auto"/>
                <w:sz w:val="21"/>
                <w:szCs w:val="21"/>
                <w:highlight w:val="none"/>
                <w:lang w:val="en-US" w:eastAsia="zh-CN"/>
              </w:rPr>
              <w:t>法定代表人（负责人）</w:t>
            </w:r>
            <w:r>
              <w:rPr>
                <w:rFonts w:hint="eastAsia" w:ascii="宋体" w:hAnsi="宋体" w:eastAsia="宋体" w:cs="宋体"/>
                <w:color w:val="auto"/>
                <w:sz w:val="21"/>
                <w:szCs w:val="21"/>
                <w:highlight w:val="none"/>
              </w:rPr>
              <w:t>的正面及反面身份证复印件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rPr>
          <w:color w:val="auto"/>
        </w:rPr>
      </w:pPr>
    </w:p>
    <w:p>
      <w:pPr>
        <w:rPr>
          <w:color w:val="auto"/>
        </w:rPr>
      </w:pPr>
    </w:p>
    <w:p>
      <w:pPr>
        <w:pStyle w:val="3"/>
        <w:tabs>
          <w:tab w:val="left" w:pos="2771"/>
        </w:tabs>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附件</w:t>
      </w:r>
      <w:r>
        <w:rPr>
          <w:rFonts w:hint="eastAsia" w:ascii="宋体" w:hAnsi="宋体" w:eastAsia="宋体" w:cs="宋体"/>
          <w:b/>
          <w:bCs/>
          <w:color w:val="auto"/>
          <w:szCs w:val="21"/>
          <w:highlight w:val="none"/>
          <w:shd w:val="clear" w:color="auto" w:fill="auto"/>
          <w:lang w:val="en-US" w:eastAsia="zh-CN"/>
        </w:rPr>
        <w:t xml:space="preserve">3 </w:t>
      </w:r>
      <w:r>
        <w:rPr>
          <w:rFonts w:hint="eastAsia" w:ascii="宋体" w:hAnsi="宋体" w:eastAsia="宋体" w:cs="宋体"/>
          <w:b/>
          <w:bCs/>
          <w:color w:val="auto"/>
          <w:szCs w:val="21"/>
          <w:highlight w:val="none"/>
          <w:shd w:val="clear" w:color="auto" w:fill="auto"/>
        </w:rPr>
        <w:t xml:space="preserve"> </w:t>
      </w:r>
    </w:p>
    <w:p>
      <w:pPr>
        <w:adjustRightInd w:val="0"/>
        <w:snapToGrid w:val="0"/>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lang w:val="en-US" w:eastAsia="zh-CN"/>
        </w:rPr>
        <w:t>商务</w:t>
      </w:r>
      <w:r>
        <w:rPr>
          <w:rFonts w:hint="eastAsia" w:ascii="宋体" w:hAnsi="宋体" w:eastAsia="宋体" w:cs="宋体"/>
          <w:b/>
          <w:color w:val="auto"/>
          <w:sz w:val="32"/>
          <w:szCs w:val="32"/>
          <w:highlight w:val="none"/>
          <w:shd w:val="clear" w:color="auto" w:fill="auto"/>
        </w:rPr>
        <w:t>技术服务偏离表</w:t>
      </w:r>
    </w:p>
    <w:p>
      <w:pPr>
        <w:spacing w:line="520" w:lineRule="exact"/>
        <w:rPr>
          <w:rFonts w:hint="eastAsia" w:ascii="仿宋_GB2312" w:hAnsi="仿宋_GB2312" w:eastAsia="仿宋_GB2312" w:cs="仿宋_GB2312"/>
          <w:sz w:val="32"/>
          <w:szCs w:val="32"/>
        </w:rPr>
      </w:pP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81"/>
        <w:gridCol w:w="2890"/>
        <w:gridCol w:w="2551"/>
        <w:gridCol w:w="1312"/>
        <w:gridCol w:w="9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b/>
                <w:bCs/>
                <w:kern w:val="2"/>
                <w:sz w:val="24"/>
                <w:szCs w:val="24"/>
              </w:rPr>
            </w:pPr>
            <w:bookmarkStart w:id="0" w:name="_Toc297193185"/>
            <w:bookmarkStart w:id="1" w:name="_Toc254970729"/>
            <w:bookmarkStart w:id="2" w:name="_Toc173211900"/>
            <w:bookmarkStart w:id="3" w:name="_Toc295404981"/>
            <w:bookmarkStart w:id="4" w:name="_Toc173066401"/>
            <w:bookmarkStart w:id="5" w:name="_Toc254970588"/>
            <w:bookmarkStart w:id="6" w:name="_Toc301781611"/>
            <w:bookmarkStart w:id="7" w:name="_Toc383699906"/>
            <w:bookmarkStart w:id="8" w:name="_Toc373333689"/>
            <w:r>
              <w:rPr>
                <w:rFonts w:hint="eastAsia" w:ascii="宋体" w:hAnsi="宋体" w:eastAsia="宋体" w:cs="仿宋_GB2312"/>
                <w:b/>
                <w:bCs/>
                <w:kern w:val="2"/>
                <w:sz w:val="24"/>
                <w:szCs w:val="24"/>
              </w:rPr>
              <w:t>序号</w:t>
            </w:r>
            <w:bookmarkEnd w:id="0"/>
            <w:bookmarkEnd w:id="1"/>
            <w:bookmarkEnd w:id="2"/>
            <w:bookmarkEnd w:id="3"/>
            <w:bookmarkEnd w:id="4"/>
            <w:bookmarkEnd w:id="5"/>
            <w:bookmarkEnd w:id="6"/>
            <w:bookmarkEnd w:id="7"/>
            <w:bookmarkEnd w:id="8"/>
          </w:p>
        </w:tc>
        <w:tc>
          <w:tcPr>
            <w:tcW w:w="1696" w:type="pct"/>
            <w:tcBorders>
              <w:lef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b/>
                <w:bCs/>
                <w:kern w:val="2"/>
                <w:sz w:val="24"/>
                <w:szCs w:val="24"/>
              </w:rPr>
            </w:pPr>
            <w:r>
              <w:rPr>
                <w:rFonts w:hint="eastAsia" w:ascii="宋体" w:hAnsi="宋体" w:eastAsia="宋体" w:cs="仿宋_GB2312"/>
                <w:b/>
                <w:bCs/>
                <w:kern w:val="2"/>
                <w:sz w:val="24"/>
                <w:szCs w:val="24"/>
                <w:lang w:val="en-US" w:eastAsia="zh-CN"/>
              </w:rPr>
              <w:t>采购</w:t>
            </w:r>
            <w:r>
              <w:rPr>
                <w:rFonts w:hint="eastAsia" w:ascii="宋体" w:hAnsi="宋体" w:eastAsia="宋体" w:cs="仿宋_GB2312"/>
                <w:b/>
                <w:bCs/>
                <w:kern w:val="2"/>
                <w:sz w:val="24"/>
                <w:szCs w:val="24"/>
              </w:rPr>
              <w:t>文件技术要求</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b/>
                <w:bCs/>
                <w:kern w:val="2"/>
                <w:sz w:val="24"/>
                <w:szCs w:val="24"/>
              </w:rPr>
            </w:pPr>
            <w:bookmarkStart w:id="9" w:name="_Toc173211902"/>
            <w:bookmarkStart w:id="10" w:name="_Toc301781613"/>
            <w:bookmarkStart w:id="11" w:name="_Toc383699908"/>
            <w:bookmarkStart w:id="12" w:name="_Toc254970731"/>
            <w:bookmarkStart w:id="13" w:name="_Toc295404983"/>
            <w:bookmarkStart w:id="14" w:name="_Toc297193187"/>
            <w:bookmarkStart w:id="15" w:name="_Toc173066403"/>
            <w:bookmarkStart w:id="16" w:name="_Toc254970590"/>
            <w:bookmarkStart w:id="17" w:name="_Toc373333691"/>
            <w:r>
              <w:rPr>
                <w:rFonts w:hint="eastAsia" w:ascii="宋体" w:hAnsi="宋体" w:eastAsia="宋体" w:cs="仿宋_GB2312"/>
                <w:b/>
                <w:bCs/>
                <w:kern w:val="2"/>
                <w:sz w:val="24"/>
                <w:szCs w:val="24"/>
              </w:rPr>
              <w:t>竞标响应</w:t>
            </w:r>
            <w:bookmarkEnd w:id="9"/>
            <w:bookmarkEnd w:id="10"/>
            <w:bookmarkEnd w:id="11"/>
            <w:bookmarkEnd w:id="12"/>
            <w:bookmarkEnd w:id="13"/>
            <w:bookmarkEnd w:id="14"/>
            <w:bookmarkEnd w:id="15"/>
            <w:bookmarkEnd w:id="16"/>
            <w:bookmarkEnd w:id="17"/>
          </w:p>
        </w:tc>
        <w:tc>
          <w:tcPr>
            <w:tcW w:w="770" w:type="pct"/>
            <w:noWrap w:val="0"/>
            <w:vAlign w:val="center"/>
          </w:tcPr>
          <w:p>
            <w:pPr>
              <w:pStyle w:val="9"/>
              <w:spacing w:line="360" w:lineRule="auto"/>
              <w:ind w:firstLine="0" w:firstLineChars="0"/>
              <w:contextualSpacing/>
              <w:jc w:val="center"/>
              <w:rPr>
                <w:rFonts w:hint="eastAsia" w:ascii="宋体" w:hAnsi="宋体" w:eastAsia="宋体" w:cs="仿宋_GB2312"/>
                <w:b/>
                <w:bCs/>
                <w:kern w:val="2"/>
                <w:sz w:val="24"/>
                <w:szCs w:val="24"/>
              </w:rPr>
            </w:pPr>
            <w:bookmarkStart w:id="18" w:name="_Toc301781614"/>
            <w:bookmarkStart w:id="19" w:name="_Toc297193188"/>
            <w:bookmarkStart w:id="20" w:name="_Toc173211903"/>
            <w:bookmarkStart w:id="21" w:name="_Toc295404984"/>
            <w:bookmarkStart w:id="22" w:name="_Toc373333692"/>
            <w:bookmarkStart w:id="23" w:name="_Toc383699909"/>
            <w:bookmarkStart w:id="24" w:name="_Toc254970732"/>
            <w:bookmarkStart w:id="25" w:name="_Toc173066404"/>
            <w:bookmarkStart w:id="26" w:name="_Toc254970591"/>
            <w:r>
              <w:rPr>
                <w:rFonts w:hint="eastAsia" w:ascii="宋体" w:hAnsi="宋体" w:eastAsia="宋体" w:cs="仿宋_GB2312"/>
                <w:b/>
                <w:bCs/>
                <w:kern w:val="2"/>
                <w:sz w:val="24"/>
                <w:szCs w:val="24"/>
                <w:lang w:val="en-US" w:eastAsia="zh-CN"/>
              </w:rPr>
              <w:t>响应/</w:t>
            </w:r>
            <w:r>
              <w:rPr>
                <w:rFonts w:hint="eastAsia" w:ascii="宋体" w:hAnsi="宋体" w:eastAsia="宋体" w:cs="仿宋_GB2312"/>
                <w:b/>
                <w:bCs/>
                <w:kern w:val="2"/>
                <w:sz w:val="24"/>
                <w:szCs w:val="24"/>
              </w:rPr>
              <w:t>偏离</w:t>
            </w:r>
            <w:bookmarkEnd w:id="18"/>
            <w:bookmarkEnd w:id="19"/>
            <w:bookmarkEnd w:id="20"/>
            <w:bookmarkEnd w:id="21"/>
            <w:bookmarkEnd w:id="22"/>
            <w:bookmarkEnd w:id="23"/>
            <w:bookmarkEnd w:id="24"/>
            <w:bookmarkEnd w:id="25"/>
            <w:bookmarkEnd w:id="26"/>
          </w:p>
        </w:tc>
        <w:tc>
          <w:tcPr>
            <w:tcW w:w="576" w:type="pct"/>
            <w:noWrap w:val="0"/>
            <w:vAlign w:val="center"/>
          </w:tcPr>
          <w:p>
            <w:pPr>
              <w:pStyle w:val="9"/>
              <w:spacing w:line="360" w:lineRule="auto"/>
              <w:ind w:firstLine="0" w:firstLineChars="0"/>
              <w:contextualSpacing/>
              <w:jc w:val="center"/>
              <w:rPr>
                <w:rFonts w:hint="eastAsia" w:ascii="宋体" w:hAnsi="宋体" w:eastAsia="宋体" w:cs="仿宋_GB2312"/>
                <w:b/>
                <w:bCs/>
                <w:kern w:val="2"/>
                <w:sz w:val="24"/>
                <w:szCs w:val="24"/>
                <w:lang w:val="en-US" w:eastAsia="zh-CN"/>
              </w:rPr>
            </w:pPr>
            <w:r>
              <w:rPr>
                <w:rFonts w:hint="eastAsia" w:ascii="宋体" w:hAnsi="宋体" w:eastAsia="宋体" w:cs="仿宋_GB2312"/>
                <w:b/>
                <w:bCs/>
                <w:kern w:val="2"/>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00" w:type="pct"/>
            <w:gridSpan w:val="5"/>
            <w:noWrap w:val="0"/>
            <w:vAlign w:val="center"/>
          </w:tcPr>
          <w:p>
            <w:pPr>
              <w:pStyle w:val="9"/>
              <w:spacing w:line="360" w:lineRule="auto"/>
              <w:ind w:firstLine="0" w:firstLineChars="0"/>
              <w:contextualSpacing/>
              <w:jc w:val="left"/>
              <w:rPr>
                <w:rFonts w:hint="eastAsia" w:ascii="宋体" w:hAnsi="宋体" w:eastAsia="宋体" w:cs="仿宋_GB2312"/>
                <w:kern w:val="2"/>
                <w:sz w:val="24"/>
                <w:szCs w:val="24"/>
                <w:lang w:val="en-US" w:eastAsia="zh-CN"/>
              </w:rPr>
            </w:pPr>
            <w:bookmarkStart w:id="27" w:name="_Toc173211905"/>
            <w:bookmarkStart w:id="28" w:name="_Toc383699911"/>
            <w:bookmarkStart w:id="29" w:name="_Toc254970734"/>
            <w:bookmarkStart w:id="30" w:name="_Toc373333694"/>
            <w:bookmarkStart w:id="31" w:name="_Toc301781616"/>
            <w:bookmarkStart w:id="32" w:name="_Toc297193190"/>
            <w:bookmarkStart w:id="33" w:name="_Toc295404986"/>
            <w:bookmarkStart w:id="34" w:name="_Toc173066406"/>
            <w:bookmarkStart w:id="35" w:name="_Toc254970593"/>
            <w:r>
              <w:rPr>
                <w:rFonts w:hint="eastAsia" w:ascii="宋体" w:hAnsi="宋体" w:eastAsia="宋体" w:cs="仿宋_GB2312"/>
                <w:b/>
                <w:bCs/>
                <w:kern w:val="2"/>
                <w:sz w:val="24"/>
                <w:szCs w:val="24"/>
                <w:lang w:val="en-US" w:eastAsia="zh-CN"/>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1</w:t>
            </w:r>
            <w:bookmarkEnd w:id="27"/>
            <w:bookmarkEnd w:id="28"/>
            <w:bookmarkEnd w:id="29"/>
            <w:bookmarkEnd w:id="30"/>
            <w:bookmarkEnd w:id="31"/>
            <w:bookmarkEnd w:id="32"/>
            <w:bookmarkEnd w:id="33"/>
            <w:bookmarkEnd w:id="34"/>
            <w:bookmarkEnd w:id="35"/>
          </w:p>
        </w:tc>
        <w:tc>
          <w:tcPr>
            <w:tcW w:w="1696" w:type="pct"/>
            <w:tcBorders>
              <w:left w:val="single" w:color="auto" w:sz="4" w:space="0"/>
            </w:tcBorders>
            <w:noWrap w:val="0"/>
            <w:vAlign w:val="center"/>
          </w:tcPr>
          <w:p>
            <w:pPr>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（一）维保服务范围</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北海市</w:t>
            </w:r>
            <w:r>
              <w:rPr>
                <w:rFonts w:hint="eastAsia" w:ascii="宋体" w:hAnsi="宋体" w:cs="宋体"/>
                <w:color w:val="auto"/>
                <w:sz w:val="21"/>
                <w:szCs w:val="21"/>
                <w:highlight w:val="none"/>
                <w:lang w:val="en-US" w:eastAsia="zh-CN"/>
              </w:rPr>
              <w:t>中医</w:t>
            </w:r>
            <w:r>
              <w:rPr>
                <w:rFonts w:hint="eastAsia" w:ascii="宋体" w:hAnsi="宋体" w:eastAsia="宋体" w:cs="宋体"/>
                <w:color w:val="auto"/>
                <w:sz w:val="21"/>
                <w:szCs w:val="21"/>
                <w:highlight w:val="none"/>
              </w:rPr>
              <w:t>医院</w:t>
            </w:r>
            <w:r>
              <w:rPr>
                <w:rFonts w:hint="eastAsia" w:ascii="宋体" w:hAnsi="宋体" w:cs="宋体"/>
                <w:color w:val="auto"/>
                <w:sz w:val="21"/>
                <w:szCs w:val="21"/>
                <w:highlight w:val="none"/>
                <w:lang w:val="en-US" w:eastAsia="zh-CN"/>
              </w:rPr>
              <w:t>综合楼</w:t>
            </w:r>
            <w:r>
              <w:rPr>
                <w:rFonts w:hint="eastAsia" w:ascii="宋体" w:hAnsi="宋体" w:eastAsia="宋体" w:cs="宋体"/>
                <w:color w:val="auto"/>
                <w:sz w:val="21"/>
                <w:szCs w:val="21"/>
                <w:highlight w:val="none"/>
              </w:rPr>
              <w:t>消防设施设备维护保养及定期巡检、故障与应急处理、日常维修及配件更换，保证设备的正常运行。具体包含：</w:t>
            </w:r>
          </w:p>
          <w:p>
            <w:pPr>
              <w:spacing w:line="360" w:lineRule="exact"/>
              <w:ind w:firstLine="420" w:firstLineChars="200"/>
              <w:rPr>
                <w:rFonts w:hint="eastAsia" w:ascii="宋体" w:hAnsi="宋体" w:eastAsia="宋体" w:cs="仿宋_GB2312"/>
                <w:kern w:val="2"/>
                <w:sz w:val="24"/>
                <w:szCs w:val="24"/>
              </w:rPr>
            </w:pPr>
            <w:r>
              <w:rPr>
                <w:rFonts w:hint="eastAsia" w:ascii="宋体" w:hAnsi="宋体" w:eastAsia="宋体" w:cs="宋体"/>
                <w:color w:val="auto"/>
                <w:sz w:val="21"/>
                <w:szCs w:val="21"/>
                <w:highlight w:val="none"/>
              </w:rPr>
              <w:t>消防水源、应急照明、安全疏散系统、消防广播及消防电话系统、火灾自动报警及联动控制系统、自动喷淋灭火系统、消火栓灭火系统、防火卷帘系统、防火门系统、灭火器、气体报警及联动控制系统、气体灭火系统等的故障维修维护、配件更换服务（更换零配件由采购人提供）；</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bookmarkStart w:id="36" w:name="_Toc173066407"/>
            <w:bookmarkStart w:id="37" w:name="_Toc173211906"/>
            <w:bookmarkStart w:id="38" w:name="_Toc373333695"/>
            <w:bookmarkStart w:id="39" w:name="_Toc301781617"/>
            <w:bookmarkStart w:id="40" w:name="_Toc254970594"/>
            <w:bookmarkStart w:id="41" w:name="_Toc295404987"/>
            <w:bookmarkStart w:id="42" w:name="_Toc383699912"/>
            <w:bookmarkStart w:id="43" w:name="_Toc254970735"/>
            <w:bookmarkStart w:id="44" w:name="_Toc297193191"/>
            <w:r>
              <w:rPr>
                <w:rFonts w:hint="eastAsia" w:ascii="宋体" w:hAnsi="宋体" w:eastAsia="宋体" w:cs="仿宋_GB2312"/>
                <w:kern w:val="2"/>
                <w:sz w:val="24"/>
                <w:szCs w:val="24"/>
              </w:rPr>
              <w:t>2</w:t>
            </w:r>
            <w:bookmarkEnd w:id="36"/>
            <w:bookmarkEnd w:id="37"/>
            <w:bookmarkEnd w:id="38"/>
            <w:bookmarkEnd w:id="39"/>
            <w:bookmarkEnd w:id="40"/>
            <w:bookmarkEnd w:id="41"/>
            <w:bookmarkEnd w:id="42"/>
            <w:bookmarkEnd w:id="43"/>
            <w:bookmarkEnd w:id="44"/>
          </w:p>
        </w:tc>
        <w:tc>
          <w:tcPr>
            <w:tcW w:w="1696" w:type="pct"/>
            <w:tcBorders>
              <w:left w:val="single" w:color="auto" w:sz="4" w:space="0"/>
            </w:tcBorders>
            <w:noWrap w:val="0"/>
            <w:vAlign w:val="center"/>
          </w:tcPr>
          <w:p>
            <w:pPr>
              <w:spacing w:line="360" w:lineRule="exact"/>
              <w:rPr>
                <w:rFonts w:hint="eastAsia" w:ascii="宋体" w:hAnsi="宋体" w:eastAsia="宋体" w:cs="仿宋_GB2312"/>
                <w:kern w:val="2"/>
                <w:sz w:val="24"/>
                <w:szCs w:val="24"/>
              </w:rPr>
            </w:pPr>
            <w:r>
              <w:rPr>
                <w:rFonts w:hint="eastAsia" w:ascii="宋体" w:hAnsi="宋体" w:eastAsia="宋体" w:cs="宋体"/>
                <w:b/>
                <w:bCs/>
                <w:color w:val="auto"/>
                <w:sz w:val="21"/>
                <w:szCs w:val="21"/>
                <w:highlight w:val="none"/>
              </w:rPr>
              <w:t>（二）维护设备概况及要求</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bookmarkStart w:id="45" w:name="_Toc254970595"/>
            <w:bookmarkStart w:id="46" w:name="_Toc383699913"/>
            <w:bookmarkStart w:id="47" w:name="_Toc373333696"/>
            <w:bookmarkStart w:id="48" w:name="_Toc173211907"/>
            <w:bookmarkStart w:id="49" w:name="_Toc173066408"/>
            <w:bookmarkStart w:id="50" w:name="_Toc295404988"/>
            <w:bookmarkStart w:id="51" w:name="_Toc301781618"/>
            <w:bookmarkStart w:id="52" w:name="_Toc254970736"/>
            <w:bookmarkStart w:id="53" w:name="_Toc297193192"/>
            <w:r>
              <w:rPr>
                <w:rFonts w:hint="eastAsia" w:ascii="宋体" w:hAnsi="宋体" w:eastAsia="宋体" w:cs="仿宋_GB2312"/>
                <w:kern w:val="2"/>
                <w:sz w:val="24"/>
                <w:szCs w:val="24"/>
              </w:rPr>
              <w:t>3</w:t>
            </w:r>
            <w:bookmarkEnd w:id="45"/>
            <w:bookmarkEnd w:id="46"/>
            <w:bookmarkEnd w:id="47"/>
            <w:bookmarkEnd w:id="48"/>
            <w:bookmarkEnd w:id="49"/>
            <w:bookmarkEnd w:id="50"/>
            <w:bookmarkEnd w:id="51"/>
            <w:bookmarkEnd w:id="52"/>
            <w:bookmarkEnd w:id="53"/>
          </w:p>
        </w:tc>
        <w:tc>
          <w:tcPr>
            <w:tcW w:w="1696" w:type="pct"/>
            <w:tcBorders>
              <w:left w:val="single" w:color="auto" w:sz="4" w:space="0"/>
            </w:tcBorders>
            <w:noWrap w:val="0"/>
            <w:vAlign w:val="center"/>
          </w:tcPr>
          <w:p>
            <w:pPr>
              <w:numPr>
                <w:ilvl w:val="0"/>
                <w:numId w:val="0"/>
              </w:numPr>
              <w:spacing w:line="36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1.消火栓系统：</w:t>
            </w:r>
          </w:p>
          <w:p>
            <w:pPr>
              <w:numPr>
                <w:ilvl w:val="0"/>
                <w:numId w:val="0"/>
              </w:numPr>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（1）每月检查消防泵工作环境及消防泵、稳压设备、电源控制柜、管网、阀门、水泵接合器、室内外消火栓、储水设施等是否处于正常完好的状态。试验内燃机驱动的消防泵能否正常工作。</w:t>
            </w:r>
          </w:p>
          <w:p>
            <w:pPr>
              <w:pStyle w:val="10"/>
              <w:spacing w:line="36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（2）每月检查下列功能：</w:t>
            </w:r>
          </w:p>
          <w:p>
            <w:pPr>
              <w:pStyle w:val="1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①启动消防泵，当消防水泵为自动控制启动时，应模拟自动控制条件进行启动。设备用泵时，应同时试验主、备泵的切换功能。</w:t>
            </w:r>
          </w:p>
          <w:p>
            <w:pPr>
              <w:pStyle w:val="1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②试验远距离启泵按钮启动消防泵，抽检数量不得少于总数的20%。</w:t>
            </w:r>
          </w:p>
          <w:p>
            <w:pPr>
              <w:pStyle w:val="9"/>
              <w:spacing w:line="360" w:lineRule="auto"/>
              <w:ind w:firstLine="0" w:firstLineChars="0"/>
              <w:contextualSpacing/>
              <w:jc w:val="center"/>
              <w:rPr>
                <w:rFonts w:hint="default" w:ascii="宋体" w:hAnsi="宋体" w:eastAsia="宋体" w:cs="仿宋_GB2312"/>
                <w:kern w:val="2"/>
                <w:sz w:val="24"/>
                <w:szCs w:val="24"/>
                <w:lang w:val="en-US" w:eastAsia="zh-CN"/>
              </w:rPr>
            </w:pPr>
            <w:r>
              <w:rPr>
                <w:rFonts w:hint="eastAsia" w:ascii="宋体" w:hAnsi="宋体" w:eastAsia="宋体" w:cs="宋体"/>
                <w:bCs/>
                <w:color w:val="auto"/>
                <w:sz w:val="21"/>
                <w:szCs w:val="21"/>
                <w:highlight w:val="none"/>
              </w:rPr>
              <w:t>③屋顶消火栓出水，检查管网压力和水质。</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bookmarkStart w:id="54" w:name="_Toc301781619"/>
            <w:bookmarkStart w:id="55" w:name="_Toc254970737"/>
            <w:bookmarkStart w:id="56" w:name="_Toc254970596"/>
            <w:bookmarkStart w:id="57" w:name="_Toc295404989"/>
            <w:bookmarkStart w:id="58" w:name="_Toc383699914"/>
            <w:bookmarkStart w:id="59" w:name="_Toc373333697"/>
            <w:bookmarkStart w:id="60" w:name="_Toc173211908"/>
            <w:bookmarkStart w:id="61" w:name="_Toc173066409"/>
            <w:bookmarkStart w:id="62" w:name="_Toc297193193"/>
            <w:r>
              <w:rPr>
                <w:rFonts w:hint="eastAsia" w:ascii="宋体" w:hAnsi="宋体" w:eastAsia="宋体" w:cs="仿宋_GB2312"/>
                <w:kern w:val="2"/>
                <w:sz w:val="24"/>
                <w:szCs w:val="24"/>
              </w:rPr>
              <w:t>4</w:t>
            </w:r>
            <w:bookmarkEnd w:id="54"/>
            <w:bookmarkEnd w:id="55"/>
            <w:bookmarkEnd w:id="56"/>
            <w:bookmarkEnd w:id="57"/>
            <w:bookmarkEnd w:id="58"/>
            <w:bookmarkEnd w:id="59"/>
            <w:bookmarkEnd w:id="60"/>
            <w:bookmarkEnd w:id="61"/>
            <w:bookmarkEnd w:id="62"/>
          </w:p>
        </w:tc>
        <w:tc>
          <w:tcPr>
            <w:tcW w:w="1696" w:type="pct"/>
            <w:tcBorders>
              <w:left w:val="single" w:color="auto" w:sz="4" w:space="0"/>
            </w:tcBorders>
            <w:noWrap w:val="0"/>
            <w:vAlign w:val="center"/>
          </w:tcPr>
          <w:p>
            <w:pPr>
              <w:pStyle w:val="9"/>
              <w:numPr>
                <w:ilvl w:val="0"/>
                <w:numId w:val="1"/>
              </w:numPr>
              <w:spacing w:line="360" w:lineRule="auto"/>
              <w:ind w:firstLine="0" w:firstLineChars="0"/>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自动喷淋灭火系统</w:t>
            </w:r>
            <w:r>
              <w:rPr>
                <w:rFonts w:hint="eastAsia" w:ascii="宋体" w:hAnsi="宋体" w:eastAsia="宋体" w:cs="宋体"/>
                <w:color w:val="auto"/>
                <w:sz w:val="21"/>
                <w:szCs w:val="21"/>
                <w:highlight w:val="none"/>
                <w:lang w:eastAsia="zh-CN"/>
              </w:rPr>
              <w:t>：</w:t>
            </w:r>
          </w:p>
          <w:p>
            <w:pPr>
              <w:pStyle w:val="9"/>
              <w:numPr>
                <w:ilvl w:val="0"/>
                <w:numId w:val="0"/>
              </w:numPr>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（1）每月检查消防泵工作环境及消防泵、稳压设备、电源控制柜、湿式报警阀、管网阀门、喷头、水泵接合器、储水设施等是否处于正常完好状态。试验内燃机驱动的消防泵能否正常工作。</w:t>
            </w:r>
          </w:p>
          <w:p>
            <w:pPr>
              <w:pStyle w:val="9"/>
              <w:numPr>
                <w:ilvl w:val="0"/>
                <w:numId w:val="0"/>
              </w:numPr>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（2）每月检查下列功能：</w:t>
            </w:r>
          </w:p>
          <w:p>
            <w:pPr>
              <w:pStyle w:val="9"/>
              <w:numPr>
                <w:ilvl w:val="0"/>
                <w:numId w:val="0"/>
              </w:numPr>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①启动消防泵，当消防泵为自动控制启动时，应模拟自动控制的条件进行启动。设备用泵时，应同时试验主、备泵的切换功能。</w:t>
            </w:r>
          </w:p>
          <w:p>
            <w:pPr>
              <w:pStyle w:val="9"/>
              <w:numPr>
                <w:ilvl w:val="0"/>
                <w:numId w:val="0"/>
              </w:numPr>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②利用报警阀上的放水阀试验系统的供水情况。</w:t>
            </w:r>
          </w:p>
          <w:p>
            <w:pPr>
              <w:pStyle w:val="9"/>
              <w:numPr>
                <w:ilvl w:val="0"/>
                <w:numId w:val="0"/>
              </w:numPr>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③利用末端放水装置放水，验证水流指示器和压力开关的报警功能、自动启泵功能和信号显示，抽查数量不少于总数的20%。</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bookmarkStart w:id="63" w:name="_Toc173066410"/>
            <w:bookmarkStart w:id="64" w:name="_Toc301781620"/>
            <w:bookmarkStart w:id="65" w:name="_Toc173211909"/>
            <w:bookmarkStart w:id="66" w:name="_Toc254970597"/>
            <w:bookmarkStart w:id="67" w:name="_Toc295404990"/>
            <w:bookmarkStart w:id="68" w:name="_Toc254970738"/>
            <w:bookmarkStart w:id="69" w:name="_Toc373333698"/>
            <w:bookmarkStart w:id="70" w:name="_Toc297193194"/>
            <w:bookmarkStart w:id="71" w:name="_Toc383699915"/>
            <w:r>
              <w:rPr>
                <w:rFonts w:hint="eastAsia" w:ascii="宋体" w:hAnsi="宋体" w:eastAsia="宋体" w:cs="仿宋_GB2312"/>
                <w:kern w:val="2"/>
                <w:sz w:val="24"/>
                <w:szCs w:val="24"/>
              </w:rPr>
              <w:t>5</w:t>
            </w:r>
            <w:bookmarkEnd w:id="63"/>
            <w:bookmarkEnd w:id="64"/>
            <w:bookmarkEnd w:id="65"/>
            <w:bookmarkEnd w:id="66"/>
            <w:bookmarkEnd w:id="67"/>
            <w:bookmarkEnd w:id="68"/>
            <w:bookmarkEnd w:id="69"/>
            <w:bookmarkEnd w:id="70"/>
            <w:bookmarkEnd w:id="71"/>
          </w:p>
        </w:tc>
        <w:tc>
          <w:tcPr>
            <w:tcW w:w="1696" w:type="pct"/>
            <w:tcBorders>
              <w:left w:val="single" w:color="auto" w:sz="4" w:space="0"/>
            </w:tcBorders>
            <w:noWrap w:val="0"/>
            <w:vAlign w:val="center"/>
          </w:tcPr>
          <w:p>
            <w:pPr>
              <w:pStyle w:val="10"/>
              <w:numPr>
                <w:ilvl w:val="0"/>
                <w:numId w:val="2"/>
              </w:numPr>
              <w:spacing w:line="360" w:lineRule="exact"/>
              <w:jc w:val="left"/>
              <w:rPr>
                <w:rFonts w:hint="eastAsia" w:hAnsi="宋体" w:cs="宋体"/>
                <w:color w:val="auto"/>
                <w:sz w:val="21"/>
                <w:szCs w:val="21"/>
                <w:highlight w:val="none"/>
                <w:lang w:eastAsia="zh-CN"/>
              </w:rPr>
            </w:pPr>
            <w:r>
              <w:rPr>
                <w:rFonts w:hint="eastAsia" w:ascii="宋体" w:hAnsi="宋体" w:eastAsia="宋体" w:cs="宋体"/>
                <w:color w:val="auto"/>
                <w:sz w:val="21"/>
                <w:szCs w:val="21"/>
                <w:highlight w:val="none"/>
              </w:rPr>
              <w:t>火灾自动报警系统</w:t>
            </w:r>
            <w:r>
              <w:rPr>
                <w:rFonts w:hint="eastAsia" w:hAnsi="宋体" w:cs="宋体"/>
                <w:color w:val="auto"/>
                <w:sz w:val="21"/>
                <w:szCs w:val="21"/>
                <w:highlight w:val="none"/>
                <w:lang w:eastAsia="zh-CN"/>
              </w:rPr>
              <w:t>：</w:t>
            </w:r>
          </w:p>
          <w:p>
            <w:pPr>
              <w:pStyle w:val="7"/>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（1）每月检查消防控制室或消防值班工作环境以及火灾报警控制器、联动控制器、层显（或区域控制器）、手动报警按钮等是否处于正常完好状态。</w:t>
            </w:r>
          </w:p>
          <w:p>
            <w:pPr>
              <w:pStyle w:val="7"/>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（2）每季度检查下列功能：</w:t>
            </w:r>
          </w:p>
          <w:p>
            <w:pPr>
              <w:pStyle w:val="7"/>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①采用检测设备分期分批试验探测器的工作情况，检测数量不少于总数的30%。</w:t>
            </w:r>
          </w:p>
          <w:p>
            <w:pPr>
              <w:pStyle w:val="7"/>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②试验手动报警按钮报警功能，抽检数量不少于总数的30%。</w:t>
            </w:r>
          </w:p>
          <w:p>
            <w:pPr>
              <w:pStyle w:val="7"/>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③对主机备用电源进行充放电试验。</w:t>
            </w:r>
          </w:p>
          <w:p>
            <w:pPr>
              <w:pStyle w:val="7"/>
              <w:numPr>
                <w:ilvl w:val="0"/>
                <w:numId w:val="0"/>
              </w:numPr>
              <w:rPr>
                <w:rFonts w:hint="eastAsia"/>
                <w:lang w:val="en-US" w:eastAsia="zh-CN"/>
              </w:rPr>
            </w:pPr>
            <w:r>
              <w:rPr>
                <w:rFonts w:hint="eastAsia" w:ascii="宋体" w:hAnsi="宋体" w:eastAsia="宋体" w:cs="宋体"/>
                <w:color w:val="auto"/>
                <w:sz w:val="21"/>
                <w:szCs w:val="21"/>
                <w:highlight w:val="none"/>
              </w:rPr>
              <w:t xml:space="preserve">④自动或手动试验相关消防联动控制设备的控制和显示功能。 </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7"/>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696" w:type="pct"/>
            <w:tcBorders>
              <w:left w:val="single" w:color="auto" w:sz="4" w:space="0"/>
            </w:tcBorders>
            <w:noWrap w:val="0"/>
            <w:vAlign w:val="center"/>
          </w:tcPr>
          <w:p>
            <w:pPr>
              <w:pStyle w:val="7"/>
              <w:numPr>
                <w:ilvl w:val="0"/>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气体灭火系统</w:t>
            </w:r>
            <w:r>
              <w:rPr>
                <w:rFonts w:hint="eastAsia" w:ascii="宋体" w:hAnsi="宋体" w:eastAsia="宋体" w:cs="宋体"/>
                <w:color w:val="auto"/>
                <w:sz w:val="21"/>
                <w:szCs w:val="21"/>
                <w:highlight w:val="none"/>
                <w:lang w:eastAsia="zh-CN"/>
              </w:rPr>
              <w:t>：</w:t>
            </w:r>
          </w:p>
          <w:p>
            <w:pPr>
              <w:pStyle w:val="7"/>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（1）每月检查贮瓶间及防护区的工作环境以及贮气瓶、选择阀、液体单向阀、高压软管、集流管、阀驱动装置、管网、喷嘴、紧急启动按钮、声光报警装置等是否处于正常完好状态。</w:t>
            </w:r>
          </w:p>
          <w:p>
            <w:pPr>
              <w:pStyle w:val="7"/>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（2）每半年检查下列功能：</w:t>
            </w:r>
          </w:p>
          <w:p>
            <w:pPr>
              <w:pStyle w:val="7"/>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①对灭火器剂贮存器进行秤重检查，灭火剂净重不得小于设计量的95%。</w:t>
            </w:r>
          </w:p>
          <w:p>
            <w:pPr>
              <w:pStyle w:val="7"/>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②对每个防护区进行一次模拟自动启动试验，如有问题，则应对相关防护区进行一次模拟喷气试验。</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7</w:t>
            </w:r>
          </w:p>
        </w:tc>
        <w:tc>
          <w:tcPr>
            <w:tcW w:w="1696" w:type="pct"/>
            <w:tcBorders>
              <w:left w:val="single" w:color="auto" w:sz="4" w:space="0"/>
            </w:tcBorders>
            <w:noWrap w:val="0"/>
            <w:vAlign w:val="center"/>
          </w:tcPr>
          <w:p>
            <w:pPr>
              <w:pStyle w:val="10"/>
              <w:numPr>
                <w:ilvl w:val="0"/>
                <w:numId w:val="0"/>
              </w:numPr>
              <w:spacing w:line="360" w:lineRule="exact"/>
              <w:ind w:leftChars="0"/>
              <w:jc w:val="left"/>
              <w:rPr>
                <w:rFonts w:hint="eastAsia" w:hAnsi="宋体" w:cs="宋体"/>
                <w:color w:val="auto"/>
                <w:sz w:val="21"/>
                <w:szCs w:val="21"/>
                <w:highlight w:val="none"/>
                <w:lang w:eastAsia="zh-CN"/>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防火卷帘系统及木质防火门系统</w:t>
            </w:r>
            <w:r>
              <w:rPr>
                <w:rFonts w:hint="eastAsia" w:hAnsi="宋体" w:cs="宋体"/>
                <w:color w:val="auto"/>
                <w:sz w:val="21"/>
                <w:szCs w:val="21"/>
                <w:highlight w:val="none"/>
                <w:lang w:eastAsia="zh-CN"/>
              </w:rPr>
              <w:t>：</w:t>
            </w:r>
          </w:p>
          <w:p>
            <w:pPr>
              <w:pStyle w:val="10"/>
              <w:numPr>
                <w:ilvl w:val="0"/>
                <w:numId w:val="0"/>
              </w:numPr>
              <w:spacing w:line="360" w:lineRule="exact"/>
              <w:ind w:leftChars="0"/>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（1）每月检查防火门、防火卷帘门周围有无影响门正常启闭的障碍物、门能否处于正常启、闭状态，门的附件是否齐全完好。</w:t>
            </w:r>
          </w:p>
          <w:p>
            <w:pPr>
              <w:pStyle w:val="10"/>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（2）每季度检查下列功能：</w:t>
            </w:r>
          </w:p>
          <w:p>
            <w:pPr>
              <w:pStyle w:val="10"/>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①试验自动方式启动防火门、防火卷帘门。抽检数量不少于总数的30%。</w:t>
            </w:r>
          </w:p>
          <w:p>
            <w:pPr>
              <w:pStyle w:val="10"/>
              <w:spacing w:line="360" w:lineRule="exact"/>
              <w:jc w:val="left"/>
              <w:rPr>
                <w:rFonts w:hint="eastAsia" w:ascii="宋体" w:hAnsi="宋体" w:eastAsia="宋体" w:cs="宋体"/>
                <w:bCs/>
                <w:color w:val="auto"/>
                <w:kern w:val="2"/>
                <w:sz w:val="21"/>
                <w:szCs w:val="21"/>
                <w:highlight w:val="none"/>
                <w:lang w:val="en-US" w:eastAsia="zh-CN" w:bidi="ar-SA"/>
              </w:rPr>
            </w:pPr>
            <w:r>
              <w:rPr>
                <w:rFonts w:hint="eastAsia" w:hAnsi="宋体" w:cs="宋体"/>
                <w:color w:val="auto"/>
                <w:sz w:val="21"/>
                <w:szCs w:val="21"/>
                <w:highlight w:val="none"/>
                <w:lang w:eastAsia="zh-CN"/>
              </w:rPr>
              <w:t>②用手动接钮启动防火卷帘门。抽检数不少于总数的30%。</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8</w:t>
            </w:r>
          </w:p>
        </w:tc>
        <w:tc>
          <w:tcPr>
            <w:tcW w:w="1696" w:type="pct"/>
            <w:tcBorders>
              <w:left w:val="single" w:color="auto" w:sz="4" w:space="0"/>
            </w:tcBorders>
            <w:noWrap w:val="0"/>
            <w:vAlign w:val="center"/>
          </w:tcPr>
          <w:p>
            <w:pPr>
              <w:pStyle w:val="10"/>
              <w:numPr>
                <w:ilvl w:val="0"/>
                <w:numId w:val="0"/>
              </w:numPr>
              <w:spacing w:line="360" w:lineRule="exact"/>
              <w:ind w:leftChars="0"/>
              <w:jc w:val="left"/>
              <w:rPr>
                <w:rFonts w:hint="eastAsia" w:hAnsi="宋体" w:cs="宋体"/>
                <w:color w:val="auto"/>
                <w:sz w:val="21"/>
                <w:szCs w:val="21"/>
                <w:highlight w:val="none"/>
                <w:lang w:eastAsia="zh-CN"/>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应急照明、安全疏散、电梯迫降系统</w:t>
            </w:r>
            <w:r>
              <w:rPr>
                <w:rFonts w:hint="eastAsia" w:hAnsi="宋体" w:cs="宋体"/>
                <w:color w:val="auto"/>
                <w:sz w:val="21"/>
                <w:szCs w:val="21"/>
                <w:highlight w:val="none"/>
                <w:lang w:eastAsia="zh-CN"/>
              </w:rPr>
              <w:t>：</w:t>
            </w:r>
          </w:p>
          <w:p>
            <w:pPr>
              <w:pStyle w:val="10"/>
              <w:numPr>
                <w:ilvl w:val="0"/>
                <w:numId w:val="0"/>
              </w:numPr>
              <w:spacing w:line="360" w:lineRule="exact"/>
              <w:ind w:leftChars="0"/>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（1）每月检查安全出口、疏散通道、重要场所的应急照明和疏散指示标志是否处于正常完好状态。</w:t>
            </w:r>
          </w:p>
          <w:p>
            <w:pPr>
              <w:pStyle w:val="10"/>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（2）每月试验应急照明和疏散指示灯的工作照度和疏散照度。抽检数量不少于总数的20%。</w:t>
            </w:r>
          </w:p>
          <w:p>
            <w:pPr>
              <w:pStyle w:val="10"/>
              <w:spacing w:line="360" w:lineRule="exact"/>
              <w:jc w:val="left"/>
              <w:rPr>
                <w:rFonts w:hint="eastAsia" w:ascii="宋体" w:hAnsi="宋体" w:eastAsia="宋体" w:cs="宋体"/>
                <w:bCs/>
                <w:color w:val="auto"/>
                <w:kern w:val="2"/>
                <w:sz w:val="21"/>
                <w:szCs w:val="21"/>
                <w:highlight w:val="none"/>
                <w:lang w:val="en-US" w:eastAsia="zh-CN" w:bidi="ar-SA"/>
              </w:rPr>
            </w:pPr>
            <w:r>
              <w:rPr>
                <w:rFonts w:hint="eastAsia" w:hAnsi="宋体" w:cs="宋体"/>
                <w:color w:val="auto"/>
                <w:sz w:val="21"/>
                <w:szCs w:val="21"/>
                <w:highlight w:val="none"/>
                <w:lang w:eastAsia="zh-CN"/>
              </w:rPr>
              <w:t>（3）每月检查消防电梯迫降按钮，每季度试验消防电梯的紧急迫降功能。</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9</w:t>
            </w:r>
          </w:p>
        </w:tc>
        <w:tc>
          <w:tcPr>
            <w:tcW w:w="1696" w:type="pct"/>
            <w:tcBorders>
              <w:left w:val="single" w:color="auto" w:sz="4" w:space="0"/>
            </w:tcBorders>
            <w:noWrap w:val="0"/>
            <w:vAlign w:val="center"/>
          </w:tcPr>
          <w:p>
            <w:pPr>
              <w:pStyle w:val="10"/>
              <w:numPr>
                <w:ilvl w:val="0"/>
                <w:numId w:val="3"/>
              </w:numPr>
              <w:spacing w:line="360" w:lineRule="exact"/>
              <w:jc w:val="left"/>
              <w:rPr>
                <w:rFonts w:hint="eastAsia" w:hAnsi="宋体" w:cs="宋体"/>
                <w:color w:val="auto"/>
                <w:sz w:val="21"/>
                <w:szCs w:val="21"/>
                <w:highlight w:val="none"/>
                <w:lang w:eastAsia="zh-CN"/>
              </w:rPr>
            </w:pPr>
            <w:r>
              <w:rPr>
                <w:rFonts w:hint="eastAsia" w:ascii="宋体" w:hAnsi="宋体" w:eastAsia="宋体" w:cs="宋体"/>
                <w:color w:val="auto"/>
                <w:sz w:val="21"/>
                <w:szCs w:val="21"/>
                <w:highlight w:val="none"/>
              </w:rPr>
              <w:t>消防广播及消防电话系统</w:t>
            </w:r>
            <w:r>
              <w:rPr>
                <w:rFonts w:hint="eastAsia" w:hAnsi="宋体" w:cs="宋体"/>
                <w:color w:val="auto"/>
                <w:sz w:val="21"/>
                <w:szCs w:val="21"/>
                <w:highlight w:val="none"/>
                <w:lang w:eastAsia="zh-CN"/>
              </w:rPr>
              <w:t>：</w:t>
            </w:r>
          </w:p>
          <w:p>
            <w:pPr>
              <w:pStyle w:val="10"/>
              <w:numPr>
                <w:ilvl w:val="0"/>
                <w:numId w:val="0"/>
              </w:numPr>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（1）每月检查电话插孔、重要场所的对讲电话、播音设备、扬声器是否处于正常完好状态。</w:t>
            </w:r>
          </w:p>
          <w:p>
            <w:pPr>
              <w:pStyle w:val="10"/>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（2）每季度检查下列功能：</w:t>
            </w:r>
          </w:p>
          <w:p>
            <w:pPr>
              <w:pStyle w:val="10"/>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①试验电话插孔和对讲电话的通话质量，抽检数量不少于总数的30%。</w:t>
            </w:r>
          </w:p>
          <w:p>
            <w:pPr>
              <w:pStyle w:val="10"/>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②试验选层广播。抽检数量不少于总数的30%。</w:t>
            </w:r>
          </w:p>
          <w:p>
            <w:pPr>
              <w:pStyle w:val="10"/>
              <w:spacing w:line="360" w:lineRule="exact"/>
              <w:jc w:val="left"/>
              <w:rPr>
                <w:rFonts w:hint="eastAsia" w:ascii="宋体" w:hAnsi="宋体" w:eastAsia="宋体" w:cs="宋体"/>
                <w:bCs/>
                <w:color w:val="auto"/>
                <w:kern w:val="2"/>
                <w:sz w:val="21"/>
                <w:szCs w:val="21"/>
                <w:highlight w:val="none"/>
                <w:lang w:val="en-US" w:eastAsia="zh-CN" w:bidi="ar-SA"/>
              </w:rPr>
            </w:pPr>
            <w:r>
              <w:rPr>
                <w:rFonts w:hint="eastAsia" w:hAnsi="宋体" w:cs="宋体"/>
                <w:color w:val="auto"/>
                <w:sz w:val="21"/>
                <w:szCs w:val="21"/>
                <w:highlight w:val="none"/>
                <w:lang w:eastAsia="zh-CN"/>
              </w:rPr>
              <w:t>③试验从背景音乐状态下强切至事故应急广播状态的功能。</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10</w:t>
            </w:r>
          </w:p>
        </w:tc>
        <w:tc>
          <w:tcPr>
            <w:tcW w:w="1696" w:type="pct"/>
            <w:tcBorders>
              <w:left w:val="single" w:color="auto" w:sz="4" w:space="0"/>
            </w:tcBorders>
            <w:noWrap w:val="0"/>
            <w:vAlign w:val="center"/>
          </w:tcPr>
          <w:p>
            <w:pPr>
              <w:pStyle w:val="9"/>
              <w:spacing w:line="360" w:lineRule="auto"/>
              <w:ind w:firstLine="0" w:firstLineChars="0"/>
              <w:contextualSpacing/>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（三）维保目的</w:t>
            </w:r>
          </w:p>
          <w:p>
            <w:pPr>
              <w:pStyle w:val="9"/>
              <w:spacing w:line="360" w:lineRule="auto"/>
              <w:ind w:firstLine="0" w:firstLineChars="0"/>
              <w:contextualSpacing/>
              <w:jc w:val="both"/>
              <w:rPr>
                <w:rFonts w:hint="eastAsia" w:ascii="宋体" w:hAnsi="宋体" w:eastAsia="宋体" w:cs="仿宋_GB2312"/>
                <w:kern w:val="2"/>
                <w:sz w:val="24"/>
                <w:szCs w:val="24"/>
                <w:lang w:val="en-US" w:eastAsia="zh-CN"/>
              </w:rPr>
            </w:pPr>
            <w:r>
              <w:rPr>
                <w:rFonts w:hint="eastAsia" w:ascii="宋体" w:hAnsi="宋体" w:eastAsia="宋体" w:cs="宋体"/>
                <w:color w:val="auto"/>
                <w:kern w:val="2"/>
                <w:sz w:val="21"/>
                <w:szCs w:val="21"/>
                <w:highlight w:val="none"/>
                <w:lang w:val="en-US" w:eastAsia="zh-CN" w:bidi="ar-SA"/>
              </w:rPr>
              <w:t>保障消防设施设备完好有效，使其处于最佳工作状态，保证在发生意外状况时能立即发挥其作用，将人员及财产损失降至最低。</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11</w:t>
            </w:r>
          </w:p>
        </w:tc>
        <w:tc>
          <w:tcPr>
            <w:tcW w:w="1696" w:type="pct"/>
            <w:tcBorders>
              <w:left w:val="single" w:color="auto" w:sz="4" w:space="0"/>
            </w:tcBorders>
            <w:noWrap w:val="0"/>
            <w:vAlign w:val="center"/>
          </w:tcPr>
          <w:p>
            <w:pPr>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（四）维保执行的技术规范：</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1.《中华人民共和国消防法》 (2021年4月29日修订）</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2.《建筑消防设施检测技术规程》 （GA503-2004)</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3.广西建筑消防设施维护保养操作规程（DB45/T2473-2022）</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4.广西壮族自治区公安消防总队（</w:t>
            </w:r>
            <w:r>
              <w:rPr>
                <w:rFonts w:hint="eastAsia" w:hAnsi="宋体" w:cs="宋体"/>
                <w:color w:val="auto"/>
                <w:sz w:val="21"/>
                <w:szCs w:val="21"/>
                <w:highlight w:val="none"/>
                <w:lang w:val="en-US" w:eastAsia="zh-CN"/>
              </w:rPr>
              <w:t>桂</w:t>
            </w:r>
            <w:r>
              <w:rPr>
                <w:rFonts w:hint="eastAsia" w:ascii="宋体" w:hAnsi="宋体" w:eastAsia="宋体" w:cs="宋体"/>
                <w:color w:val="auto"/>
                <w:sz w:val="21"/>
                <w:szCs w:val="21"/>
                <w:highlight w:val="none"/>
              </w:rPr>
              <w:t>公消（2008)452号）文件</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5.广西建筑消防设施维护保养企业管理规定</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6.建筑消防设施维护保养企业行业自律公约</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7.《建筑消防设施的维护管理》（GB25201-2010)</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8.《高层民用建筑设计防火规范》（ GB50045-95 2005 版）</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9.《建筑设计防火规范》【GB50016-2014（2018年版）】</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10.《火灾自动报警系统设计规范》（GB50116-2013）</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11.《火灾自动报警系统施工及验收规范》（GB50166-2019）</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12.《自动喷水灭火系统设计规范》（GB50084-2017）</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13.《自动喷水灭火系统施工及验收规范》（GB50261-2017）</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14.《水喷雾灭火系统设计规范》（GB 50219-2014）</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15.《气体灭火系统设计规范》（GB50370 -2005）</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16.《气体灭火系统施工及验收规范》（GB50263-2007）</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17.《建筑灭火器配置设计规范》（GB50140 2019）</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18.《建筑灭火器配置验收及检查规范》（GB50444  2008）</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19.《干粉灭火系统设计规范》（GB50347  2004）</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20.《通风与空调施工质量验收规范》（GB50243-2019）</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21.《建筑防烟排烟系统技术标准》（GB51251）</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22.《城市消防安全远程监控系统技术规范》（GB50440-2007）</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23.《电气火灾监控设备》（GB 14287.1-2014）</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24.《剩余电流式电气火灾监控探测器》（GB 14287.2-2014）</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25.《测温式电气火灾监控探测器》（GB 14287.3-20141.4）</w:t>
            </w:r>
          </w:p>
          <w:p>
            <w:pPr>
              <w:pStyle w:val="9"/>
              <w:spacing w:line="360" w:lineRule="auto"/>
              <w:ind w:firstLine="0" w:firstLineChars="0"/>
              <w:contextualSpacing/>
              <w:jc w:val="both"/>
              <w:rPr>
                <w:rFonts w:hint="eastAsia" w:ascii="宋体" w:hAnsi="宋体" w:eastAsia="宋体" w:cs="仿宋_GB2312"/>
                <w:kern w:val="2"/>
                <w:sz w:val="24"/>
                <w:szCs w:val="24"/>
                <w:lang w:val="en-US" w:eastAsia="zh-CN"/>
              </w:rPr>
            </w:pPr>
            <w:r>
              <w:rPr>
                <w:rFonts w:hint="eastAsia" w:ascii="宋体" w:hAnsi="宋体" w:eastAsia="宋体" w:cs="宋体"/>
                <w:color w:val="auto"/>
                <w:sz w:val="21"/>
                <w:szCs w:val="21"/>
                <w:highlight w:val="none"/>
              </w:rPr>
              <w:t>26.《消防设施物联网系统技术标准》（DGTJ08-2251-2018）</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00" w:type="pct"/>
            <w:gridSpan w:val="5"/>
            <w:tcBorders>
              <w:right w:val="single" w:color="auto" w:sz="4" w:space="0"/>
            </w:tcBorders>
            <w:noWrap w:val="0"/>
            <w:vAlign w:val="center"/>
          </w:tcPr>
          <w:p>
            <w:pPr>
              <w:pStyle w:val="9"/>
              <w:spacing w:line="360" w:lineRule="auto"/>
              <w:ind w:firstLine="0" w:firstLineChars="0"/>
              <w:contextualSpacing/>
              <w:jc w:val="left"/>
              <w:rPr>
                <w:rFonts w:hint="eastAsia" w:ascii="宋体" w:hAnsi="宋体" w:eastAsia="宋体" w:cs="仿宋_GB2312"/>
                <w:b/>
                <w:bCs/>
                <w:kern w:val="2"/>
                <w:sz w:val="24"/>
                <w:szCs w:val="24"/>
                <w:lang w:val="en-US" w:eastAsia="zh-CN"/>
              </w:rPr>
            </w:pPr>
            <w:r>
              <w:rPr>
                <w:rFonts w:hint="eastAsia" w:ascii="宋体" w:hAnsi="宋体" w:eastAsia="宋体" w:cs="仿宋_GB2312"/>
                <w:b/>
                <w:bCs/>
                <w:kern w:val="2"/>
                <w:sz w:val="24"/>
                <w:szCs w:val="24"/>
                <w:lang w:val="en-US" w:eastAsia="zh-CN"/>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1</w:t>
            </w:r>
          </w:p>
        </w:tc>
        <w:tc>
          <w:tcPr>
            <w:tcW w:w="1696" w:type="pct"/>
            <w:tcBorders>
              <w:left w:val="single" w:color="auto" w:sz="4" w:space="0"/>
            </w:tcBorders>
            <w:noWrap w:val="0"/>
            <w:vAlign w:val="top"/>
          </w:tcPr>
          <w:p>
            <w:pPr>
              <w:spacing w:line="360" w:lineRule="exact"/>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服务期及服务地点：</w:t>
            </w: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服务期：自合同签订之日起9个月</w:t>
            </w:r>
            <w:r>
              <w:rPr>
                <w:rFonts w:hint="eastAsia" w:ascii="宋体" w:hAnsi="宋体" w:eastAsia="宋体" w:cs="宋体"/>
                <w:color w:val="auto"/>
                <w:sz w:val="21"/>
                <w:szCs w:val="21"/>
                <w:highlight w:val="none"/>
              </w:rPr>
              <w:t>（具体起止时间以合同签订时间为准）。</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宋体" w:hAnsi="宋体" w:cs="宋体"/>
                <w:color w:val="auto"/>
                <w:sz w:val="21"/>
                <w:szCs w:val="21"/>
                <w:highlight w:val="none"/>
                <w:lang w:val="en-US" w:eastAsia="zh-CN"/>
              </w:rPr>
              <w:t>服务地点：</w:t>
            </w:r>
            <w:r>
              <w:rPr>
                <w:rFonts w:hint="eastAsia" w:ascii="宋体" w:hAnsi="宋体" w:eastAsia="宋体" w:cs="宋体"/>
                <w:color w:val="auto"/>
                <w:sz w:val="21"/>
                <w:szCs w:val="21"/>
                <w:lang w:val="en-US" w:eastAsia="zh-CN"/>
              </w:rPr>
              <w:t>北海市中医医院</w:t>
            </w:r>
            <w:r>
              <w:rPr>
                <w:rFonts w:hint="eastAsia" w:ascii="宋体" w:hAnsi="宋体" w:cs="宋体"/>
                <w:color w:val="auto"/>
                <w:sz w:val="21"/>
                <w:szCs w:val="21"/>
                <w:lang w:val="en-US" w:eastAsia="zh-CN"/>
              </w:rPr>
              <w:t>。</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2</w:t>
            </w:r>
          </w:p>
        </w:tc>
        <w:tc>
          <w:tcPr>
            <w:tcW w:w="1696" w:type="pct"/>
            <w:tcBorders>
              <w:left w:val="single" w:color="auto" w:sz="4" w:space="0"/>
            </w:tcBorders>
            <w:noWrap w:val="0"/>
            <w:vAlign w:val="top"/>
          </w:tcPr>
          <w:p>
            <w:pPr>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付款方式：</w:t>
            </w:r>
          </w:p>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合同款分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次支付，每</w:t>
            </w:r>
            <w:r>
              <w:rPr>
                <w:rFonts w:hint="eastAsia" w:ascii="宋体" w:hAnsi="宋体" w:eastAsia="宋体" w:cs="宋体"/>
                <w:color w:val="auto"/>
                <w:sz w:val="21"/>
                <w:szCs w:val="21"/>
                <w:highlight w:val="none"/>
                <w:lang w:val="en-US" w:eastAsia="zh-CN"/>
              </w:rPr>
              <w:t>3个月</w:t>
            </w:r>
            <w:r>
              <w:rPr>
                <w:rFonts w:hint="eastAsia" w:ascii="宋体" w:hAnsi="宋体" w:eastAsia="宋体" w:cs="宋体"/>
                <w:color w:val="auto"/>
                <w:sz w:val="21"/>
                <w:szCs w:val="21"/>
                <w:highlight w:val="none"/>
              </w:rPr>
              <w:t>支付一次。自合同签订生效之日起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个月后收到发票之日起10个工作日内，采购人向成交供应商支付合同价款的</w:t>
            </w:r>
            <w:r>
              <w:rPr>
                <w:rFonts w:hint="eastAsia" w:ascii="宋体" w:hAnsi="宋体" w:eastAsia="宋体" w:cs="宋体"/>
                <w:color w:val="auto"/>
                <w:sz w:val="21"/>
                <w:szCs w:val="21"/>
                <w:highlight w:val="none"/>
                <w:lang w:val="en-US" w:eastAsia="zh-CN"/>
              </w:rPr>
              <w:t>三分之一</w:t>
            </w:r>
            <w:r>
              <w:rPr>
                <w:rFonts w:hint="eastAsia" w:ascii="宋体" w:hAnsi="宋体" w:eastAsia="宋体" w:cs="宋体"/>
                <w:color w:val="auto"/>
                <w:sz w:val="21"/>
                <w:szCs w:val="21"/>
                <w:highlight w:val="none"/>
              </w:rPr>
              <w:t>；以此类推，每满</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个月后收到发票之日起10个工作日内采购人向成交供应商支付合同款的</w:t>
            </w:r>
            <w:r>
              <w:rPr>
                <w:rFonts w:hint="eastAsia" w:ascii="宋体" w:hAnsi="宋体" w:eastAsia="宋体" w:cs="宋体"/>
                <w:color w:val="auto"/>
                <w:sz w:val="21"/>
                <w:szCs w:val="21"/>
                <w:highlight w:val="none"/>
                <w:lang w:val="en-US" w:eastAsia="zh-CN"/>
              </w:rPr>
              <w:t>三分之一</w:t>
            </w:r>
            <w:r>
              <w:rPr>
                <w:rFonts w:hint="eastAsia" w:ascii="宋体" w:hAnsi="宋体" w:eastAsia="宋体" w:cs="宋体"/>
                <w:color w:val="auto"/>
                <w:sz w:val="21"/>
                <w:szCs w:val="21"/>
                <w:highlight w:val="none"/>
              </w:rPr>
              <w:t>。</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3</w:t>
            </w:r>
          </w:p>
        </w:tc>
        <w:tc>
          <w:tcPr>
            <w:tcW w:w="1696" w:type="pct"/>
            <w:tcBorders>
              <w:left w:val="single" w:color="auto" w:sz="4" w:space="0"/>
            </w:tcBorders>
            <w:noWrap w:val="0"/>
            <w:vAlign w:val="top"/>
          </w:tcPr>
          <w:p>
            <w:pPr>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1.基本要求：</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供应商必须按照消防管理规定和国家对于消防维护服务相关规定提供服务，符合中华人民共和国应急管理部第七号令《社会消防技术服务管理规定》的从业要求，维保人员要严格遵守《中华人民共和国消防法》、《社会消防技术服务管理规定》和其他相关规定。</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供应商在进场开展消防相关维护保养工作前，需对采购人维护保养内容中所列的消防相关情况进行全面的检查，并将不符合国家和地方有关建筑消防设施的法规和技术规范要求的情况，列出详细书面清单，并由双方签字确认，以厘清责任。</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在服务过程中，应严格遵守《中华人民共和国消防法》、《社会消防技术服务管理规定》和其他相关行业规定，依据国家现行标准GB25201《建筑消防设施的维护管理》中相关的规程及标准要求，完成负责项目的消防系统的日常检测维修、保养工作；</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须提供全天候应急处理服务，并在接到报修通知后及时派遣专业维保人员赶赴现场进行故障处理，一般情况下4小时内赶到现场，紧急情况下须在2小时内赶到现场，并将故障原因和处理结果及时报告给采购单位。一般故障6小时内解决，重大故障48小时内解决。成交供应商在规定时间内无故未到场，造成的一切后果由成交供应商负责。因故未能即时解决故障或需加工订制零部件的，成交供应商须向采购人说明原因，经采购人同意后重新确定故障修复时限；</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交供应商应对消防设备按要求定期开展维保工作，将维保工作中的内容，如维修、监测项目和数量、发现的问题和整改建议等形成书面报告，分别由双方负责人签字存档。成交供应商须在重大节假日或特殊时节前对设备进行安全巡检工作；</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（6）成交供应商须自行配备工作所需的工具及各类设备，开展维保工作前设置现场安全警示标志及施工公告；</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（7）成交供应商例行保养工作时，发现零部件受损或严重老化必须更换时，须以书面报告方式告知采购人，并提供针对性整改建议。</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（8）成交供应商应时刻关注国家和地方消防相关法律法规动向，须在新的消防相关法律法规出台的30天内，对采购人处不符合新的消防相关法律法规的情况进行全面的检查，并出具书面的问题清单和整改建议。</w:t>
            </w:r>
          </w:p>
          <w:p>
            <w:pPr>
              <w:spacing w:line="360" w:lineRule="exact"/>
              <w:ind w:firstLine="420" w:firstLineChars="200"/>
              <w:rPr>
                <w:rFonts w:hint="eastAsia" w:ascii="宋体" w:hAnsi="宋体" w:eastAsia="宋体" w:cs="宋体"/>
                <w:color w:val="auto"/>
                <w:sz w:val="21"/>
                <w:szCs w:val="21"/>
                <w:highlight w:val="none"/>
              </w:rPr>
            </w:pP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2.拟投入人员要求：</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（1）拟投入维保人员须具备消防设施操作员或建（构）筑物消防员职业资格证书；</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（2）服务人员要求身体健康、品貌端正、品行优良、工作认真负责、能吃苦耐劳，无不良记录；</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（3）成交供应商提供不符合采购文件和规定的维保人员，采购人有权拒绝接受；</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（4）维保人员在工作中应讲究礼貌、文明执勤遵守劳动纪律、保密制度等采购人的有关规定。如有违反纪律或不称职行为者，采购单位有权要求更换人员；</w:t>
            </w:r>
          </w:p>
          <w:p>
            <w:pPr>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为保持维保人员的稳定性，成交供应商须在合同签订后立即提供各项目维保人员名册，如更换维保人员须以书面形式报送采购人备案，采购人同意后才可更换。成交供应商应在维护服务期内加强现场管理，如在维护保养工作中发生人身伤亡或财产损失的，由成交供应商负责处理相关事宜且承担全部责任。。</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4</w:t>
            </w:r>
          </w:p>
        </w:tc>
        <w:tc>
          <w:tcPr>
            <w:tcW w:w="1696" w:type="pct"/>
            <w:tcBorders>
              <w:left w:val="single" w:color="auto" w:sz="4" w:space="0"/>
            </w:tcBorders>
            <w:noWrap w:val="0"/>
            <w:vAlign w:val="top"/>
          </w:tcPr>
          <w:p>
            <w:pPr>
              <w:spacing w:line="36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其他要求：</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1.在维保服务过程中，必须严格遵守服务现场管理规定和相关安全条款，维保前须向采购人进行报备，如有违反以上规定发生意外情况，造成的一切损失(人身和财产)由</w:t>
            </w:r>
            <w:r>
              <w:rPr>
                <w:rFonts w:hint="eastAsia" w:ascii="宋体" w:hAnsi="宋体" w:cs="宋体"/>
                <w:color w:val="auto"/>
                <w:sz w:val="21"/>
                <w:szCs w:val="21"/>
                <w:lang w:val="en-US" w:eastAsia="zh-CN"/>
              </w:rPr>
              <w:t>成交供应商</w:t>
            </w:r>
            <w:r>
              <w:rPr>
                <w:rFonts w:hint="eastAsia" w:ascii="宋体" w:hAnsi="宋体" w:eastAsia="宋体" w:cs="宋体"/>
                <w:color w:val="auto"/>
                <w:sz w:val="21"/>
                <w:szCs w:val="21"/>
              </w:rPr>
              <w:t>承担。</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2.在合同存续期内，因维护不当原因造成的一切损失(人身和财产)由成交供应商承担。</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3.成交供应商应严格执行国家有关的保密法律法规及规章制度。对采购人提供的相关资料，成交供应商应妥善保管，不得向第三方提供、转述该资料的任何部分，否则，造成严重后果的，追究其法律责任。</w:t>
            </w:r>
          </w:p>
          <w:p>
            <w:pPr>
              <w:pStyle w:val="18"/>
              <w:ind w:left="0" w:leftChars="0" w:firstLine="0" w:firstLineChars="0"/>
              <w:rPr>
                <w:rFonts w:hint="eastAsia" w:ascii="仿宋_GB2312" w:eastAsia="宋体" w:hAnsiTheme="minorHAnsi" w:cstheme="minorBidi"/>
                <w:bCs/>
                <w:spacing w:val="10"/>
                <w:kern w:val="0"/>
                <w:sz w:val="24"/>
                <w:szCs w:val="20"/>
                <w:lang w:val="en-US" w:eastAsia="zh-CN" w:bidi="ar-SA"/>
              </w:rPr>
            </w:pPr>
            <w:r>
              <w:rPr>
                <w:rFonts w:hint="eastAsia" w:ascii="宋体" w:hAnsi="宋体" w:eastAsia="宋体" w:cs="宋体"/>
                <w:color w:val="auto"/>
                <w:sz w:val="21"/>
                <w:szCs w:val="21"/>
                <w:lang w:val="en-US" w:eastAsia="zh-CN"/>
              </w:rPr>
              <w:t xml:space="preserve">    4.供应商必须承诺自行提供本项目的所有服务内容，不得转让或转包、分包。</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0" w:type="auto"/>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696" w:type="pct"/>
            <w:vAlign w:val="center"/>
          </w:tcPr>
          <w:p>
            <w:pPr>
              <w:spacing w:line="360" w:lineRule="exact"/>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报价要求：</w:t>
            </w:r>
          </w:p>
          <w:p>
            <w:pPr>
              <w:spacing w:line="360" w:lineRule="exac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本次报价</w:t>
            </w:r>
            <w:r>
              <w:rPr>
                <w:rFonts w:hint="eastAsia" w:ascii="宋体" w:hAnsi="宋体" w:eastAsia="宋体" w:cs="宋体"/>
                <w:color w:val="auto"/>
                <w:sz w:val="21"/>
                <w:szCs w:val="21"/>
                <w:lang w:val="en-US" w:eastAsia="zh-CN"/>
              </w:rPr>
              <w:t>包含</w:t>
            </w:r>
            <w:r>
              <w:rPr>
                <w:rFonts w:hint="eastAsia" w:ascii="宋体" w:hAnsi="宋体" w:eastAsia="宋体" w:cs="宋体"/>
                <w:color w:val="auto"/>
                <w:sz w:val="21"/>
                <w:szCs w:val="21"/>
              </w:rPr>
              <w:t>服务费、人员工资、检测与试验费、仪器使用费、差旅费、通信费、交通费、设备使用费、印刷费、资料费、公司管理费、税金等与本项目服务工作有关的一切费用及利润；采购人不再支付成交价格以外的任何费用</w:t>
            </w:r>
          </w:p>
        </w:tc>
        <w:tc>
          <w:tcPr>
            <w:tcW w:w="1497" w:type="pct"/>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Pr>
          <w:p>
            <w:pPr>
              <w:pStyle w:val="9"/>
              <w:spacing w:line="360" w:lineRule="auto"/>
              <w:ind w:firstLine="0" w:firstLineChars="0"/>
              <w:contextualSpacing/>
              <w:jc w:val="center"/>
              <w:rPr>
                <w:rFonts w:hint="eastAsia" w:ascii="宋体" w:hAnsi="宋体" w:eastAsia="宋体" w:cs="仿宋_GB2312"/>
                <w:kern w:val="2"/>
                <w:sz w:val="24"/>
                <w:szCs w:val="24"/>
              </w:rPr>
            </w:pPr>
          </w:p>
        </w:tc>
      </w:tr>
    </w:tbl>
    <w:p>
      <w:pPr>
        <w:adjustRightInd w:val="0"/>
        <w:spacing w:line="360" w:lineRule="auto"/>
        <w:contextualSpacing/>
        <w:rPr>
          <w:rFonts w:hint="eastAsia" w:ascii="宋体" w:hAnsi="宋体" w:cs="仿宋_GB2312"/>
          <w:sz w:val="24"/>
        </w:rPr>
      </w:pPr>
    </w:p>
    <w:p>
      <w:pPr>
        <w:pStyle w:val="9"/>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pPr>
        <w:pStyle w:val="9"/>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 说明：应对照</w:t>
      </w:r>
      <w:r>
        <w:rPr>
          <w:rFonts w:hint="eastAsia" w:ascii="宋体" w:hAnsi="宋体" w:eastAsia="宋体" w:cs="仿宋_GB2312"/>
          <w:sz w:val="24"/>
          <w:szCs w:val="24"/>
          <w:lang w:val="en-US" w:eastAsia="zh-CN"/>
        </w:rPr>
        <w:t>采购</w:t>
      </w:r>
      <w:r>
        <w:rPr>
          <w:rFonts w:hint="eastAsia" w:ascii="宋体" w:hAnsi="宋体" w:eastAsia="宋体" w:cs="仿宋_GB2312"/>
          <w:sz w:val="24"/>
          <w:szCs w:val="24"/>
        </w:rPr>
        <w:t>文件中的技术要求逐条作出明确响应，并作出偏离说明。</w:t>
      </w:r>
    </w:p>
    <w:p>
      <w:pPr>
        <w:pStyle w:val="9"/>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2.供应商应根据自身的承诺，对照文件要求，在“偏离说明”中注明“正偏离”、“负偏离”或者“无偏离”。既不属于“正偏离”也不属于“负偏离”即为“无偏离”。</w:t>
      </w:r>
    </w:p>
    <w:p>
      <w:pPr>
        <w:spacing w:line="400" w:lineRule="exact"/>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pPr>
        <w:pStyle w:val="2"/>
        <w:rPr>
          <w:rFonts w:hint="eastAsia" w:ascii="宋体" w:hAnsi="宋体" w:eastAsia="宋体" w:cs="宋体"/>
          <w:color w:val="auto"/>
          <w:sz w:val="21"/>
          <w:szCs w:val="21"/>
          <w:highlight w:val="none"/>
          <w:shd w:val="clear" w:color="auto" w:fill="auto"/>
        </w:rPr>
      </w:pPr>
    </w:p>
    <w:p>
      <w:pPr>
        <w:pStyle w:val="2"/>
        <w:rPr>
          <w:rFonts w:hint="eastAsia" w:ascii="宋体" w:hAnsi="宋体" w:eastAsia="宋体" w:cs="宋体"/>
          <w:color w:val="auto"/>
          <w:sz w:val="21"/>
          <w:szCs w:val="21"/>
          <w:highlight w:val="none"/>
          <w:shd w:val="clear" w:color="auto" w:fill="auto"/>
        </w:rPr>
        <w:sectPr>
          <w:pgSz w:w="11906" w:h="16838"/>
          <w:pgMar w:top="1440" w:right="1800" w:bottom="1440" w:left="1800" w:header="851" w:footer="992" w:gutter="0"/>
          <w:pgNumType w:fmt="decimal"/>
          <w:cols w:space="425" w:num="1"/>
          <w:docGrid w:type="lines" w:linePitch="312" w:charSpace="0"/>
        </w:sectPr>
      </w:pPr>
    </w:p>
    <w:p>
      <w:pPr>
        <w:snapToGrid w:val="0"/>
        <w:spacing w:before="156" w:beforeLines="50" w:after="50"/>
        <w:jc w:val="left"/>
        <w:rPr>
          <w:rFonts w:hint="default" w:ascii="宋体" w:hAnsi="宋体" w:eastAsiaTheme="minorEastAsia"/>
          <w:b/>
          <w:sz w:val="24"/>
          <w:lang w:val="en-US" w:eastAsia="zh-CN"/>
        </w:rPr>
      </w:pPr>
      <w:r>
        <w:rPr>
          <w:rFonts w:hint="eastAsia" w:ascii="宋体" w:hAnsi="宋体"/>
          <w:b/>
          <w:sz w:val="24"/>
          <w:lang w:val="en-US" w:eastAsia="zh-CN"/>
        </w:rPr>
        <w:t>附件4</w:t>
      </w:r>
    </w:p>
    <w:p>
      <w:pPr>
        <w:spacing w:line="360" w:lineRule="auto"/>
        <w:ind w:left="142"/>
        <w:contextualSpacing/>
        <w:jc w:val="center"/>
        <w:rPr>
          <w:rFonts w:hint="eastAsia" w:ascii="宋体" w:hAnsi="宋体"/>
          <w:b/>
          <w:sz w:val="32"/>
          <w:szCs w:val="32"/>
        </w:rPr>
      </w:pPr>
      <w:r>
        <w:rPr>
          <w:rFonts w:hint="eastAsia" w:ascii="宋体" w:hAnsi="宋体"/>
          <w:b/>
          <w:sz w:val="32"/>
          <w:szCs w:val="32"/>
        </w:rPr>
        <w:t>项目实施人员一览表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sz w:val="21"/>
                <w:szCs w:val="21"/>
              </w:rPr>
            </w:pPr>
            <w:r>
              <w:rPr>
                <w:rFonts w:hint="eastAsia" w:ascii="宋体" w:hAnsi="宋体"/>
                <w:sz w:val="21"/>
                <w:szCs w:val="21"/>
              </w:rPr>
              <w:t>姓名</w:t>
            </w:r>
          </w:p>
        </w:tc>
        <w:tc>
          <w:tcPr>
            <w:tcW w:w="709" w:type="dxa"/>
            <w:noWrap w:val="0"/>
            <w:vAlign w:val="center"/>
          </w:tcPr>
          <w:p>
            <w:pPr>
              <w:spacing w:line="360" w:lineRule="auto"/>
              <w:contextualSpacing/>
              <w:jc w:val="center"/>
              <w:rPr>
                <w:rFonts w:hint="eastAsia" w:ascii="宋体" w:hAnsi="宋体"/>
                <w:sz w:val="21"/>
                <w:szCs w:val="21"/>
              </w:rPr>
            </w:pPr>
            <w:r>
              <w:rPr>
                <w:rFonts w:hint="eastAsia" w:ascii="宋体" w:hAnsi="宋体"/>
                <w:sz w:val="21"/>
                <w:szCs w:val="21"/>
              </w:rPr>
              <w:t>职务</w:t>
            </w:r>
          </w:p>
        </w:tc>
        <w:tc>
          <w:tcPr>
            <w:tcW w:w="1701" w:type="dxa"/>
            <w:noWrap w:val="0"/>
            <w:vAlign w:val="center"/>
          </w:tcPr>
          <w:p>
            <w:pPr>
              <w:spacing w:line="360" w:lineRule="auto"/>
              <w:contextualSpacing/>
              <w:jc w:val="center"/>
              <w:rPr>
                <w:rFonts w:hint="eastAsia" w:ascii="宋体" w:hAnsi="宋体"/>
                <w:sz w:val="21"/>
                <w:szCs w:val="21"/>
              </w:rPr>
            </w:pPr>
            <w:r>
              <w:rPr>
                <w:rFonts w:hint="eastAsia" w:ascii="宋体" w:hAnsi="宋体"/>
                <w:sz w:val="21"/>
                <w:szCs w:val="21"/>
              </w:rPr>
              <w:t>专业技术资格（职称）或者职业资格或者执业资格证或者其他证书</w:t>
            </w:r>
          </w:p>
        </w:tc>
        <w:tc>
          <w:tcPr>
            <w:tcW w:w="1420" w:type="dxa"/>
            <w:noWrap w:val="0"/>
            <w:vAlign w:val="center"/>
          </w:tcPr>
          <w:p>
            <w:pPr>
              <w:spacing w:line="360" w:lineRule="auto"/>
              <w:contextualSpacing/>
              <w:jc w:val="center"/>
              <w:rPr>
                <w:rFonts w:hint="eastAsia" w:ascii="宋体" w:hAnsi="宋体"/>
                <w:sz w:val="21"/>
                <w:szCs w:val="21"/>
              </w:rPr>
            </w:pPr>
            <w:r>
              <w:rPr>
                <w:rFonts w:hint="eastAsia" w:ascii="宋体" w:hAnsi="宋体"/>
                <w:sz w:val="21"/>
                <w:szCs w:val="21"/>
              </w:rPr>
              <w:t>证书编号</w:t>
            </w:r>
          </w:p>
        </w:tc>
        <w:tc>
          <w:tcPr>
            <w:tcW w:w="1698" w:type="dxa"/>
            <w:noWrap w:val="0"/>
            <w:vAlign w:val="center"/>
          </w:tcPr>
          <w:p>
            <w:pPr>
              <w:spacing w:line="360" w:lineRule="auto"/>
              <w:contextualSpacing/>
              <w:jc w:val="center"/>
              <w:rPr>
                <w:rFonts w:hint="eastAsia" w:ascii="宋体" w:hAnsi="宋体"/>
                <w:sz w:val="21"/>
                <w:szCs w:val="21"/>
              </w:rPr>
            </w:pPr>
            <w:r>
              <w:rPr>
                <w:rFonts w:hint="eastAsia" w:ascii="宋体" w:hAnsi="宋体"/>
                <w:sz w:val="21"/>
                <w:szCs w:val="21"/>
              </w:rPr>
              <w:t>参加本单位</w:t>
            </w:r>
          </w:p>
          <w:p>
            <w:pPr>
              <w:spacing w:line="360" w:lineRule="auto"/>
              <w:contextualSpacing/>
              <w:jc w:val="center"/>
              <w:rPr>
                <w:rFonts w:hint="eastAsia" w:ascii="宋体" w:hAnsi="宋体"/>
                <w:sz w:val="21"/>
                <w:szCs w:val="21"/>
              </w:rPr>
            </w:pPr>
            <w:r>
              <w:rPr>
                <w:rFonts w:hint="eastAsia" w:ascii="宋体" w:hAnsi="宋体"/>
                <w:sz w:val="21"/>
                <w:szCs w:val="21"/>
              </w:rPr>
              <w:t>工作时间</w:t>
            </w:r>
          </w:p>
        </w:tc>
        <w:tc>
          <w:tcPr>
            <w:tcW w:w="1948" w:type="dxa"/>
            <w:noWrap w:val="0"/>
            <w:vAlign w:val="center"/>
          </w:tcPr>
          <w:p>
            <w:pPr>
              <w:spacing w:line="360" w:lineRule="auto"/>
              <w:contextualSpacing/>
              <w:jc w:val="center"/>
              <w:rPr>
                <w:rFonts w:hint="eastAsia" w:ascii="宋体" w:hAnsi="宋体"/>
                <w:sz w:val="21"/>
                <w:szCs w:val="21"/>
              </w:rPr>
            </w:pPr>
            <w:r>
              <w:rPr>
                <w:rFonts w:hint="eastAsia" w:ascii="宋体" w:hAnsi="宋体"/>
                <w:sz w:val="21"/>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sz w:val="21"/>
                <w:szCs w:val="21"/>
              </w:rPr>
            </w:pPr>
          </w:p>
        </w:tc>
        <w:tc>
          <w:tcPr>
            <w:tcW w:w="709" w:type="dxa"/>
            <w:noWrap w:val="0"/>
            <w:vAlign w:val="center"/>
          </w:tcPr>
          <w:p>
            <w:pPr>
              <w:spacing w:line="360" w:lineRule="auto"/>
              <w:contextualSpacing/>
              <w:jc w:val="center"/>
              <w:rPr>
                <w:rFonts w:hint="eastAsia" w:ascii="宋体" w:hAnsi="宋体"/>
                <w:sz w:val="21"/>
                <w:szCs w:val="21"/>
              </w:rPr>
            </w:pPr>
          </w:p>
        </w:tc>
        <w:tc>
          <w:tcPr>
            <w:tcW w:w="1701" w:type="dxa"/>
            <w:noWrap w:val="0"/>
            <w:vAlign w:val="center"/>
          </w:tcPr>
          <w:p>
            <w:pPr>
              <w:spacing w:line="360" w:lineRule="auto"/>
              <w:contextualSpacing/>
              <w:jc w:val="center"/>
              <w:rPr>
                <w:rFonts w:hint="eastAsia" w:ascii="宋体" w:hAnsi="宋体"/>
                <w:sz w:val="21"/>
                <w:szCs w:val="21"/>
              </w:rPr>
            </w:pPr>
          </w:p>
        </w:tc>
        <w:tc>
          <w:tcPr>
            <w:tcW w:w="1420" w:type="dxa"/>
            <w:noWrap w:val="0"/>
            <w:vAlign w:val="center"/>
          </w:tcPr>
          <w:p>
            <w:pPr>
              <w:spacing w:line="360" w:lineRule="auto"/>
              <w:contextualSpacing/>
              <w:jc w:val="center"/>
              <w:rPr>
                <w:rFonts w:hint="eastAsia" w:ascii="宋体" w:hAnsi="宋体"/>
                <w:sz w:val="21"/>
                <w:szCs w:val="21"/>
              </w:rPr>
            </w:pPr>
          </w:p>
        </w:tc>
        <w:tc>
          <w:tcPr>
            <w:tcW w:w="1698" w:type="dxa"/>
            <w:noWrap w:val="0"/>
            <w:vAlign w:val="center"/>
          </w:tcPr>
          <w:p>
            <w:pPr>
              <w:spacing w:line="360" w:lineRule="auto"/>
              <w:contextualSpacing/>
              <w:jc w:val="center"/>
              <w:rPr>
                <w:rFonts w:hint="eastAsia" w:ascii="宋体" w:hAnsi="宋体"/>
                <w:sz w:val="21"/>
                <w:szCs w:val="21"/>
              </w:rPr>
            </w:pPr>
          </w:p>
        </w:tc>
        <w:tc>
          <w:tcPr>
            <w:tcW w:w="1948" w:type="dxa"/>
            <w:noWrap w:val="0"/>
            <w:vAlign w:val="center"/>
          </w:tcPr>
          <w:p>
            <w:pPr>
              <w:spacing w:line="360" w:lineRule="auto"/>
              <w:contextualSpacing/>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sz w:val="21"/>
                <w:szCs w:val="21"/>
              </w:rPr>
            </w:pPr>
          </w:p>
        </w:tc>
        <w:tc>
          <w:tcPr>
            <w:tcW w:w="709" w:type="dxa"/>
            <w:noWrap w:val="0"/>
            <w:vAlign w:val="center"/>
          </w:tcPr>
          <w:p>
            <w:pPr>
              <w:spacing w:line="360" w:lineRule="auto"/>
              <w:contextualSpacing/>
              <w:jc w:val="center"/>
              <w:rPr>
                <w:rFonts w:hint="eastAsia" w:ascii="宋体" w:hAnsi="宋体"/>
                <w:sz w:val="21"/>
                <w:szCs w:val="21"/>
              </w:rPr>
            </w:pPr>
          </w:p>
        </w:tc>
        <w:tc>
          <w:tcPr>
            <w:tcW w:w="1701" w:type="dxa"/>
            <w:noWrap w:val="0"/>
            <w:vAlign w:val="center"/>
          </w:tcPr>
          <w:p>
            <w:pPr>
              <w:spacing w:line="360" w:lineRule="auto"/>
              <w:contextualSpacing/>
              <w:jc w:val="center"/>
              <w:rPr>
                <w:rFonts w:hint="eastAsia" w:ascii="宋体" w:hAnsi="宋体"/>
                <w:sz w:val="21"/>
                <w:szCs w:val="21"/>
              </w:rPr>
            </w:pPr>
          </w:p>
        </w:tc>
        <w:tc>
          <w:tcPr>
            <w:tcW w:w="1420" w:type="dxa"/>
            <w:noWrap w:val="0"/>
            <w:vAlign w:val="center"/>
          </w:tcPr>
          <w:p>
            <w:pPr>
              <w:spacing w:line="360" w:lineRule="auto"/>
              <w:contextualSpacing/>
              <w:jc w:val="center"/>
              <w:rPr>
                <w:rFonts w:hint="eastAsia" w:ascii="宋体" w:hAnsi="宋体"/>
                <w:sz w:val="21"/>
                <w:szCs w:val="21"/>
              </w:rPr>
            </w:pPr>
          </w:p>
        </w:tc>
        <w:tc>
          <w:tcPr>
            <w:tcW w:w="1698" w:type="dxa"/>
            <w:noWrap w:val="0"/>
            <w:vAlign w:val="center"/>
          </w:tcPr>
          <w:p>
            <w:pPr>
              <w:spacing w:line="360" w:lineRule="auto"/>
              <w:contextualSpacing/>
              <w:jc w:val="center"/>
              <w:rPr>
                <w:rFonts w:hint="eastAsia" w:ascii="宋体" w:hAnsi="宋体"/>
                <w:sz w:val="21"/>
                <w:szCs w:val="21"/>
              </w:rPr>
            </w:pPr>
          </w:p>
        </w:tc>
        <w:tc>
          <w:tcPr>
            <w:tcW w:w="1948" w:type="dxa"/>
            <w:noWrap w:val="0"/>
            <w:vAlign w:val="center"/>
          </w:tcPr>
          <w:p>
            <w:pPr>
              <w:spacing w:line="360" w:lineRule="auto"/>
              <w:contextualSpacing/>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sz w:val="21"/>
                <w:szCs w:val="21"/>
              </w:rPr>
            </w:pPr>
          </w:p>
        </w:tc>
        <w:tc>
          <w:tcPr>
            <w:tcW w:w="709" w:type="dxa"/>
            <w:noWrap w:val="0"/>
            <w:vAlign w:val="center"/>
          </w:tcPr>
          <w:p>
            <w:pPr>
              <w:spacing w:line="360" w:lineRule="auto"/>
              <w:contextualSpacing/>
              <w:jc w:val="center"/>
              <w:rPr>
                <w:rFonts w:hint="eastAsia" w:ascii="宋体" w:hAnsi="宋体"/>
                <w:sz w:val="21"/>
                <w:szCs w:val="21"/>
              </w:rPr>
            </w:pPr>
          </w:p>
        </w:tc>
        <w:tc>
          <w:tcPr>
            <w:tcW w:w="1701" w:type="dxa"/>
            <w:noWrap w:val="0"/>
            <w:vAlign w:val="center"/>
          </w:tcPr>
          <w:p>
            <w:pPr>
              <w:spacing w:line="360" w:lineRule="auto"/>
              <w:contextualSpacing/>
              <w:jc w:val="center"/>
              <w:rPr>
                <w:rFonts w:hint="eastAsia" w:ascii="宋体" w:hAnsi="宋体"/>
                <w:sz w:val="21"/>
                <w:szCs w:val="21"/>
              </w:rPr>
            </w:pPr>
          </w:p>
        </w:tc>
        <w:tc>
          <w:tcPr>
            <w:tcW w:w="1420" w:type="dxa"/>
            <w:noWrap w:val="0"/>
            <w:vAlign w:val="center"/>
          </w:tcPr>
          <w:p>
            <w:pPr>
              <w:spacing w:line="360" w:lineRule="auto"/>
              <w:contextualSpacing/>
              <w:jc w:val="center"/>
              <w:rPr>
                <w:rFonts w:hint="eastAsia" w:ascii="宋体" w:hAnsi="宋体"/>
                <w:sz w:val="21"/>
                <w:szCs w:val="21"/>
              </w:rPr>
            </w:pPr>
          </w:p>
        </w:tc>
        <w:tc>
          <w:tcPr>
            <w:tcW w:w="1698" w:type="dxa"/>
            <w:noWrap w:val="0"/>
            <w:vAlign w:val="center"/>
          </w:tcPr>
          <w:p>
            <w:pPr>
              <w:spacing w:line="360" w:lineRule="auto"/>
              <w:contextualSpacing/>
              <w:jc w:val="center"/>
              <w:rPr>
                <w:rFonts w:hint="eastAsia" w:ascii="宋体" w:hAnsi="宋体"/>
                <w:sz w:val="21"/>
                <w:szCs w:val="21"/>
              </w:rPr>
            </w:pPr>
          </w:p>
        </w:tc>
        <w:tc>
          <w:tcPr>
            <w:tcW w:w="1948" w:type="dxa"/>
            <w:noWrap w:val="0"/>
            <w:vAlign w:val="center"/>
          </w:tcPr>
          <w:p>
            <w:pPr>
              <w:spacing w:line="360" w:lineRule="auto"/>
              <w:contextualSpacing/>
              <w:jc w:val="center"/>
              <w:rPr>
                <w:rFonts w:hint="eastAsia" w:ascii="宋体" w:hAnsi="宋体"/>
                <w:sz w:val="21"/>
                <w:szCs w:val="21"/>
              </w:rPr>
            </w:pPr>
          </w:p>
        </w:tc>
      </w:tr>
    </w:tbl>
    <w:p>
      <w:pPr>
        <w:spacing w:line="360" w:lineRule="auto"/>
        <w:contextualSpacing/>
        <w:jc w:val="left"/>
        <w:rPr>
          <w:rFonts w:ascii="宋体" w:hAnsi="宋体"/>
          <w:sz w:val="21"/>
          <w:szCs w:val="21"/>
        </w:rPr>
      </w:pPr>
      <w:r>
        <w:rPr>
          <w:rFonts w:hint="eastAsia" w:ascii="宋体" w:hAnsi="宋体"/>
          <w:sz w:val="21"/>
          <w:szCs w:val="21"/>
        </w:rPr>
        <w:t>注：</w:t>
      </w:r>
    </w:p>
    <w:p>
      <w:pPr>
        <w:spacing w:line="360" w:lineRule="auto"/>
        <w:contextualSpacing/>
        <w:jc w:val="lef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在填写时，如本表格不适合供应商的实际情况，可根据本表格式自行制表填写。</w:t>
      </w:r>
    </w:p>
    <w:p>
      <w:pPr>
        <w:spacing w:line="360" w:lineRule="auto"/>
        <w:contextualSpacing/>
        <w:jc w:val="left"/>
        <w:rPr>
          <w:rFonts w:hint="eastAsia" w:ascii="宋体" w:hAnsi="宋体"/>
          <w:sz w:val="21"/>
          <w:szCs w:val="21"/>
        </w:rPr>
      </w:pPr>
      <w:r>
        <w:rPr>
          <w:rFonts w:ascii="宋体" w:hAnsi="宋体"/>
          <w:sz w:val="21"/>
          <w:szCs w:val="21"/>
        </w:rPr>
        <w:t>2.</w:t>
      </w:r>
      <w:r>
        <w:rPr>
          <w:rFonts w:hint="eastAsia" w:ascii="宋体" w:hAnsi="宋体"/>
          <w:sz w:val="21"/>
          <w:szCs w:val="21"/>
        </w:rPr>
        <w:t>供应商应当附本表所列证书的复印件并加盖供应商公章。</w:t>
      </w:r>
    </w:p>
    <w:p>
      <w:pPr>
        <w:spacing w:line="360" w:lineRule="auto"/>
        <w:contextualSpacing/>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pPr>
        <w:pStyle w:val="2"/>
        <w:rPr>
          <w:b/>
          <w:bCs/>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A2B8D"/>
    <w:multiLevelType w:val="singleLevel"/>
    <w:tmpl w:val="927A2B8D"/>
    <w:lvl w:ilvl="0" w:tentative="0">
      <w:start w:val="2"/>
      <w:numFmt w:val="decimal"/>
      <w:lvlText w:val="%1."/>
      <w:lvlJc w:val="left"/>
      <w:pPr>
        <w:tabs>
          <w:tab w:val="left" w:pos="312"/>
        </w:tabs>
      </w:pPr>
    </w:lvl>
  </w:abstractNum>
  <w:abstractNum w:abstractNumId="1">
    <w:nsid w:val="9634483E"/>
    <w:multiLevelType w:val="singleLevel"/>
    <w:tmpl w:val="9634483E"/>
    <w:lvl w:ilvl="0" w:tentative="0">
      <w:start w:val="3"/>
      <w:numFmt w:val="decimal"/>
      <w:lvlText w:val="%1."/>
      <w:lvlJc w:val="left"/>
      <w:pPr>
        <w:tabs>
          <w:tab w:val="left" w:pos="312"/>
        </w:tabs>
      </w:pPr>
    </w:lvl>
  </w:abstractNum>
  <w:abstractNum w:abstractNumId="2">
    <w:nsid w:val="FCF39B0E"/>
    <w:multiLevelType w:val="singleLevel"/>
    <w:tmpl w:val="FCF39B0E"/>
    <w:lvl w:ilvl="0" w:tentative="0">
      <w:start w:val="7"/>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YzM1MjVlMzFmZjYxZDgxZjhmYjQzMDg0ZTVmOTMifQ=="/>
  </w:docVars>
  <w:rsids>
    <w:rsidRoot w:val="00000000"/>
    <w:rsid w:val="007B7CC9"/>
    <w:rsid w:val="01B84BEB"/>
    <w:rsid w:val="02BD75DA"/>
    <w:rsid w:val="037D072F"/>
    <w:rsid w:val="0402496D"/>
    <w:rsid w:val="05292151"/>
    <w:rsid w:val="05803C79"/>
    <w:rsid w:val="05A85CFB"/>
    <w:rsid w:val="05B1657D"/>
    <w:rsid w:val="05D52594"/>
    <w:rsid w:val="05FE4192"/>
    <w:rsid w:val="06361B7E"/>
    <w:rsid w:val="06417756"/>
    <w:rsid w:val="0652740E"/>
    <w:rsid w:val="07DF6CB0"/>
    <w:rsid w:val="092B6B72"/>
    <w:rsid w:val="09652EA6"/>
    <w:rsid w:val="0AEE6EBE"/>
    <w:rsid w:val="0B640DAA"/>
    <w:rsid w:val="0B982FDE"/>
    <w:rsid w:val="0D957AD2"/>
    <w:rsid w:val="10183569"/>
    <w:rsid w:val="11691403"/>
    <w:rsid w:val="11FD083A"/>
    <w:rsid w:val="1239411A"/>
    <w:rsid w:val="15C045E5"/>
    <w:rsid w:val="175C192A"/>
    <w:rsid w:val="189B7EE1"/>
    <w:rsid w:val="1948775C"/>
    <w:rsid w:val="1A460F30"/>
    <w:rsid w:val="1B647E6A"/>
    <w:rsid w:val="1BA65D80"/>
    <w:rsid w:val="1BFD51C0"/>
    <w:rsid w:val="1CFE0B16"/>
    <w:rsid w:val="1D6055D0"/>
    <w:rsid w:val="1E99494D"/>
    <w:rsid w:val="1F6470C9"/>
    <w:rsid w:val="205025CB"/>
    <w:rsid w:val="21A44FF7"/>
    <w:rsid w:val="2206617A"/>
    <w:rsid w:val="22250295"/>
    <w:rsid w:val="241E2E79"/>
    <w:rsid w:val="258437A1"/>
    <w:rsid w:val="281364C9"/>
    <w:rsid w:val="286F7E3D"/>
    <w:rsid w:val="2892056C"/>
    <w:rsid w:val="28F67420"/>
    <w:rsid w:val="298A0219"/>
    <w:rsid w:val="29B03871"/>
    <w:rsid w:val="2A4B352D"/>
    <w:rsid w:val="2A781EB5"/>
    <w:rsid w:val="2A810EB4"/>
    <w:rsid w:val="2B786D6C"/>
    <w:rsid w:val="2D1C7470"/>
    <w:rsid w:val="2EF61EBF"/>
    <w:rsid w:val="2F8E5BB6"/>
    <w:rsid w:val="30711A36"/>
    <w:rsid w:val="31404A38"/>
    <w:rsid w:val="329C7EC6"/>
    <w:rsid w:val="32D13B5C"/>
    <w:rsid w:val="349977F4"/>
    <w:rsid w:val="359A3B85"/>
    <w:rsid w:val="35BC359E"/>
    <w:rsid w:val="35C41EE5"/>
    <w:rsid w:val="369342FF"/>
    <w:rsid w:val="37C13FF1"/>
    <w:rsid w:val="39B84172"/>
    <w:rsid w:val="3A7111E0"/>
    <w:rsid w:val="3B1A35A5"/>
    <w:rsid w:val="3BF53366"/>
    <w:rsid w:val="3E18333B"/>
    <w:rsid w:val="3E4E2372"/>
    <w:rsid w:val="3EF50189"/>
    <w:rsid w:val="3F990DFA"/>
    <w:rsid w:val="4065700E"/>
    <w:rsid w:val="41CF68E1"/>
    <w:rsid w:val="41F222D7"/>
    <w:rsid w:val="423D2473"/>
    <w:rsid w:val="43233CA8"/>
    <w:rsid w:val="43E837B0"/>
    <w:rsid w:val="464F0997"/>
    <w:rsid w:val="468A65A6"/>
    <w:rsid w:val="46F97410"/>
    <w:rsid w:val="474B200D"/>
    <w:rsid w:val="47F07F64"/>
    <w:rsid w:val="480908C5"/>
    <w:rsid w:val="49E1317B"/>
    <w:rsid w:val="4A05193C"/>
    <w:rsid w:val="4BD84FF1"/>
    <w:rsid w:val="4EA53C12"/>
    <w:rsid w:val="4F245F47"/>
    <w:rsid w:val="4F3D5943"/>
    <w:rsid w:val="50CE26AB"/>
    <w:rsid w:val="53D3124A"/>
    <w:rsid w:val="55B92C9D"/>
    <w:rsid w:val="562E7748"/>
    <w:rsid w:val="5696615E"/>
    <w:rsid w:val="58C90216"/>
    <w:rsid w:val="58D46DDE"/>
    <w:rsid w:val="5943350B"/>
    <w:rsid w:val="59663FBD"/>
    <w:rsid w:val="59A33FA9"/>
    <w:rsid w:val="5B6F7BE4"/>
    <w:rsid w:val="5C7120A1"/>
    <w:rsid w:val="5D810AA5"/>
    <w:rsid w:val="5FC15189"/>
    <w:rsid w:val="60204143"/>
    <w:rsid w:val="605E7A9B"/>
    <w:rsid w:val="61EE39EB"/>
    <w:rsid w:val="627D7452"/>
    <w:rsid w:val="63737EDD"/>
    <w:rsid w:val="637A2DB4"/>
    <w:rsid w:val="65864FD8"/>
    <w:rsid w:val="68355B04"/>
    <w:rsid w:val="6C1D0D5E"/>
    <w:rsid w:val="6DBE71AC"/>
    <w:rsid w:val="6DC910DD"/>
    <w:rsid w:val="6E471168"/>
    <w:rsid w:val="70220E08"/>
    <w:rsid w:val="718756DA"/>
    <w:rsid w:val="72E0764F"/>
    <w:rsid w:val="741D664D"/>
    <w:rsid w:val="749770EE"/>
    <w:rsid w:val="76B84CCF"/>
    <w:rsid w:val="77637BB6"/>
    <w:rsid w:val="778B23D2"/>
    <w:rsid w:val="79517126"/>
    <w:rsid w:val="797D616D"/>
    <w:rsid w:val="7A923E9A"/>
    <w:rsid w:val="7AEC5358"/>
    <w:rsid w:val="7C6B14E4"/>
    <w:rsid w:val="7C8D4F98"/>
    <w:rsid w:val="7CB83264"/>
    <w:rsid w:val="7DBF3660"/>
    <w:rsid w:val="7DE946D6"/>
    <w:rsid w:val="7ED0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autoRedefine/>
    <w:qFormat/>
    <w:uiPriority w:val="0"/>
    <w:pPr>
      <w:keepNext/>
      <w:keepLines/>
      <w:spacing w:before="340" w:after="330" w:line="576" w:lineRule="auto"/>
      <w:jc w:val="center"/>
      <w:outlineLvl w:val="0"/>
    </w:pPr>
    <w:rPr>
      <w:rFonts w:ascii="Calibri" w:hAnsi="Calibri" w:eastAsia="宋体" w:cs="Times New Roman"/>
      <w:kern w:val="44"/>
      <w:sz w:val="44"/>
    </w:rPr>
  </w:style>
  <w:style w:type="paragraph" w:styleId="6">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4"/>
    <w:basedOn w:val="1"/>
    <w:next w:val="1"/>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after="120" w:line="240" w:lineRule="auto"/>
      <w:ind w:firstLine="420" w:firstLineChars="100"/>
    </w:pPr>
    <w:rPr>
      <w:rFonts w:ascii="Times New Roman" w:hAnsi="Times New Roman" w:eastAsia="宋体" w:cs="Times New Roman"/>
      <w:sz w:val="21"/>
    </w:rPr>
  </w:style>
  <w:style w:type="paragraph" w:styleId="3">
    <w:name w:val="Body Text"/>
    <w:basedOn w:val="1"/>
    <w:next w:val="1"/>
    <w:autoRedefine/>
    <w:qFormat/>
    <w:uiPriority w:val="0"/>
    <w:pPr>
      <w:spacing w:line="380" w:lineRule="exact"/>
    </w:pPr>
    <w:rPr>
      <w:rFonts w:ascii="Times New Roman" w:hAnsi="Times New Roman" w:eastAsia="宋体" w:cs="Times New Roman"/>
      <w:sz w:val="24"/>
    </w:rPr>
  </w:style>
  <w:style w:type="paragraph" w:styleId="5">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paragraph" w:styleId="8">
    <w:name w:val="Normal Indent"/>
    <w:basedOn w:val="1"/>
    <w:next w:val="1"/>
    <w:qFormat/>
    <w:uiPriority w:val="0"/>
    <w:pPr>
      <w:ind w:firstLine="420" w:firstLineChars="200"/>
    </w:pPr>
  </w:style>
  <w:style w:type="paragraph" w:styleId="9">
    <w:name w:val="Body Text Indent"/>
    <w:basedOn w:val="1"/>
    <w:autoRedefine/>
    <w:qFormat/>
    <w:uiPriority w:val="0"/>
    <w:pPr>
      <w:ind w:firstLine="830" w:firstLineChars="352"/>
    </w:pPr>
    <w:rPr>
      <w:rFonts w:ascii="仿宋_GB2312" w:eastAsia="仿宋_GB2312"/>
      <w:sz w:val="32"/>
      <w:szCs w:val="20"/>
    </w:rPr>
  </w:style>
  <w:style w:type="paragraph" w:styleId="10">
    <w:name w:val="Plain Text"/>
    <w:basedOn w:val="1"/>
    <w:next w:val="1"/>
    <w:qFormat/>
    <w:uiPriority w:val="0"/>
    <w:rPr>
      <w:rFonts w:hint="eastAsia" w:ascii="宋体" w:hAnsi="Courier New" w:eastAsia="宋体" w:cs="Times New Roman"/>
      <w:szCs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1"/>
    <w:next w:val="8"/>
    <w:autoRedefine/>
    <w:qFormat/>
    <w:uiPriority w:val="0"/>
    <w:pPr>
      <w:spacing w:after="120"/>
      <w:ind w:left="420" w:leftChars="200" w:firstLine="420" w:firstLineChars="200"/>
    </w:pPr>
    <w:rPr>
      <w:rFonts w:ascii="Times New Roman" w:eastAsia="宋体"/>
      <w:sz w:val="21"/>
      <w:szCs w:val="24"/>
    </w:rPr>
  </w:style>
  <w:style w:type="table" w:styleId="16">
    <w:name w:val="Table Grid"/>
    <w:basedOn w:val="1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表格文字"/>
    <w:basedOn w:val="9"/>
    <w:next w:val="3"/>
    <w:autoRedefine/>
    <w:qFormat/>
    <w:uiPriority w:val="0"/>
    <w:pPr>
      <w:spacing w:before="25" w:after="25"/>
      <w:jc w:val="left"/>
    </w:pPr>
    <w:rPr>
      <w:bCs/>
      <w:spacing w:val="10"/>
      <w:kern w:val="0"/>
      <w:sz w:val="24"/>
      <w:szCs w:val="20"/>
    </w:rPr>
  </w:style>
  <w:style w:type="paragraph" w:customStyle="1" w:styleId="19">
    <w:name w:val="Default"/>
    <w:basedOn w:val="5"/>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表内文字"/>
    <w:basedOn w:val="1"/>
    <w:autoRedefine/>
    <w:qFormat/>
    <w:uiPriority w:val="0"/>
    <w:pPr>
      <w:snapToGrid w:val="0"/>
      <w:spacing w:line="320" w:lineRule="exact"/>
    </w:pPr>
    <w:rPr>
      <w:rFonts w:hint="eastAsia" w:ascii="宋体" w:hAnsi="宋体" w:eastAsia="宋体" w:cs="Times New Roman"/>
      <w:szCs w:val="21"/>
    </w:rPr>
  </w:style>
  <w:style w:type="paragraph" w:customStyle="1" w:styleId="21">
    <w:name w:val="列出段落1"/>
    <w:basedOn w:val="1"/>
    <w:autoRedefine/>
    <w:qFormat/>
    <w:uiPriority w:val="34"/>
    <w:pPr>
      <w:ind w:firstLine="420" w:firstLineChars="200"/>
    </w:pPr>
    <w:rPr>
      <w:rFonts w:ascii="Arial" w:hAnsi="Arial" w:eastAsia="黑体"/>
      <w:szCs w:val="22"/>
    </w:rPr>
  </w:style>
  <w:style w:type="paragraph" w:customStyle="1" w:styleId="22">
    <w:name w:val="List Paragraph"/>
    <w:basedOn w:val="1"/>
    <w:autoRedefine/>
    <w:qFormat/>
    <w:uiPriority w:val="34"/>
    <w:pPr>
      <w:ind w:firstLine="420" w:firstLineChars="200"/>
    </w:pPr>
  </w:style>
  <w:style w:type="paragraph" w:customStyle="1" w:styleId="23">
    <w:name w:val="179"/>
    <w:basedOn w:val="1"/>
    <w:autoRedefine/>
    <w:qFormat/>
    <w:uiPriority w:val="0"/>
    <w:pPr>
      <w:ind w:firstLine="420" w:firstLineChars="200"/>
      <w:jc w:val="both"/>
      <w:textAlignment w:val="baseline"/>
    </w:pPr>
  </w:style>
  <w:style w:type="character" w:customStyle="1" w:styleId="24">
    <w:name w:val="NormalCharacter"/>
    <w:link w:val="1"/>
    <w:autoRedefine/>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1307</Words>
  <Characters>1395</Characters>
  <Lines>0</Lines>
  <Paragraphs>0</Paragraphs>
  <TotalTime>38</TotalTime>
  <ScaleCrop>false</ScaleCrop>
  <LinksUpToDate>false</LinksUpToDate>
  <CharactersWithSpaces>1637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筱文</cp:lastModifiedBy>
  <dcterms:modified xsi:type="dcterms:W3CDTF">2024-03-26T00:25:39Z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C5D0D3CBE71949D09A20A3827D4B30CB_13</vt:lpwstr>
  </property>
</Properties>
</file>